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F0CBE" w14:textId="77777777" w:rsidR="003817FC" w:rsidRDefault="003817FC" w:rsidP="00DC2743">
      <w:pPr>
        <w:contextualSpacing/>
        <w:jc w:val="both"/>
      </w:pPr>
    </w:p>
    <w:p w14:paraId="1B24487C" w14:textId="74129505" w:rsidR="004C6B18" w:rsidRDefault="004C6B18" w:rsidP="00DC2743">
      <w:pPr>
        <w:contextualSpacing/>
        <w:jc w:val="both"/>
      </w:pPr>
    </w:p>
    <w:p w14:paraId="6E7AB98D" w14:textId="77777777" w:rsidR="00925B07" w:rsidRDefault="00A36D14" w:rsidP="00DC2743">
      <w:pPr>
        <w:contextualSpacing/>
        <w:jc w:val="both"/>
        <w:rPr>
          <w:i/>
          <w:iCs/>
        </w:rPr>
      </w:pPr>
      <w:r w:rsidRPr="00A36D14">
        <w:rPr>
          <w:rFonts w:cstheme="minorHAnsi"/>
          <w:color w:val="0070C0"/>
        </w:rPr>
        <w:t>[Slide 1]</w:t>
      </w:r>
      <w:r w:rsidR="00925B07" w:rsidRPr="00925B07">
        <w:rPr>
          <w:i/>
          <w:iCs/>
        </w:rPr>
        <w:t xml:space="preserve"> </w:t>
      </w:r>
    </w:p>
    <w:p w14:paraId="3E71A9DB" w14:textId="2763D2DC" w:rsidR="004232D8" w:rsidRPr="00412D4B" w:rsidRDefault="00412D4B" w:rsidP="00DC2743">
      <w:pPr>
        <w:contextualSpacing/>
        <w:jc w:val="both"/>
      </w:pPr>
      <w:r w:rsidRPr="00412D4B">
        <w:t xml:space="preserve">This an </w:t>
      </w:r>
      <w:proofErr w:type="spellStart"/>
      <w:r w:rsidR="004232D8" w:rsidRPr="00412D4B">
        <w:t>eTalk</w:t>
      </w:r>
      <w:proofErr w:type="spellEnd"/>
      <w:r w:rsidR="004232D8" w:rsidRPr="00412D4B">
        <w:t xml:space="preserve"> on </w:t>
      </w:r>
      <w:r w:rsidR="00925B07" w:rsidRPr="00412D4B">
        <w:rPr>
          <w:i/>
          <w:iCs/>
        </w:rPr>
        <w:t>Gospel Women and the Long Ending of Mark</w:t>
      </w:r>
      <w:r w:rsidRPr="00412D4B">
        <w:t>, b</w:t>
      </w:r>
      <w:r w:rsidR="004232D8" w:rsidRPr="00412D4B">
        <w:t xml:space="preserve">y </w:t>
      </w:r>
      <w:r w:rsidR="00925B07" w:rsidRPr="00412D4B">
        <w:t>Kara J. Lyons-</w:t>
      </w:r>
      <w:proofErr w:type="spellStart"/>
      <w:r w:rsidR="00925B07" w:rsidRPr="00412D4B">
        <w:t>Pardue</w:t>
      </w:r>
      <w:proofErr w:type="spellEnd"/>
      <w:r w:rsidR="00EC044F" w:rsidRPr="00412D4B">
        <w:t xml:space="preserve">, </w:t>
      </w:r>
      <w:r w:rsidR="004232D8" w:rsidRPr="00412D4B">
        <w:t>Professor of New Testament, Point Loma Nazarene University</w:t>
      </w:r>
      <w:r w:rsidRPr="00412D4B">
        <w:t>.</w:t>
      </w:r>
    </w:p>
    <w:p w14:paraId="07EBDDE0" w14:textId="0BE1397F" w:rsidR="00A36D14" w:rsidRDefault="00A36D14" w:rsidP="00DC2743">
      <w:pPr>
        <w:contextualSpacing/>
        <w:jc w:val="both"/>
        <w:rPr>
          <w:rFonts w:cstheme="minorHAnsi"/>
          <w:color w:val="0070C0"/>
        </w:rPr>
      </w:pPr>
    </w:p>
    <w:p w14:paraId="7B90CFF8" w14:textId="34B0BCAD" w:rsidR="00A36D14" w:rsidRPr="00A36D14" w:rsidRDefault="00A36D14" w:rsidP="00DC2743">
      <w:pPr>
        <w:contextualSpacing/>
        <w:jc w:val="both"/>
        <w:rPr>
          <w:rFonts w:cstheme="minorHAnsi"/>
          <w:color w:val="0070C0"/>
        </w:rPr>
      </w:pPr>
      <w:r w:rsidRPr="00A36D14">
        <w:rPr>
          <w:rFonts w:cstheme="minorHAnsi"/>
          <w:color w:val="0070C0"/>
        </w:rPr>
        <w:t xml:space="preserve">[Slide </w:t>
      </w:r>
      <w:r>
        <w:rPr>
          <w:rFonts w:cstheme="minorHAnsi"/>
          <w:color w:val="0070C0"/>
        </w:rPr>
        <w:t>2</w:t>
      </w:r>
      <w:r w:rsidRPr="00A36D14">
        <w:rPr>
          <w:rFonts w:cstheme="minorHAnsi"/>
          <w:color w:val="0070C0"/>
        </w:rPr>
        <w:t>]</w:t>
      </w:r>
    </w:p>
    <w:p w14:paraId="5C0BBA31" w14:textId="3B9D1ACA" w:rsidR="005A258C" w:rsidRDefault="00884C0F" w:rsidP="00DC2743">
      <w:pPr>
        <w:contextualSpacing/>
        <w:jc w:val="both"/>
      </w:pPr>
      <w:r>
        <w:t xml:space="preserve">The genesis of the idea which grew into the book </w:t>
      </w:r>
      <w:r w:rsidRPr="00884C0F">
        <w:rPr>
          <w:i/>
          <w:iCs/>
        </w:rPr>
        <w:t>Gospel Women and the Long Ending of Mark</w:t>
      </w:r>
      <w:r>
        <w:t xml:space="preserve"> published in 2020 in the Library of New Testament Studies by T&amp;T Clark was the result of a collection of factors and intertwining interest areas, which were cultivated during my doctoral </w:t>
      </w:r>
      <w:r w:rsidR="0083164D">
        <w:t>studies</w:t>
      </w:r>
      <w:r>
        <w:t xml:space="preserve"> at Princeton Theological Seminary. </w:t>
      </w:r>
    </w:p>
    <w:p w14:paraId="15197B32" w14:textId="0D97EF67" w:rsidR="00412D4B" w:rsidRDefault="00412D4B" w:rsidP="00DC2743">
      <w:pPr>
        <w:contextualSpacing/>
        <w:jc w:val="both"/>
      </w:pPr>
    </w:p>
    <w:p w14:paraId="18C80BC7" w14:textId="4D787E19" w:rsidR="00412D4B" w:rsidRDefault="00B20142" w:rsidP="00DC2743">
      <w:pPr>
        <w:contextualSpacing/>
        <w:jc w:val="both"/>
      </w:pPr>
      <w:hyperlink r:id="rId7" w:tgtFrame="_blank" w:tooltip="https://www.bloomsbury.com/uk/gospel-women-and-the-long-ending-of-mark-9780567692405/" w:history="1">
        <w:r w:rsidR="00412D4B" w:rsidRPr="00132704">
          <w:rPr>
            <w:rFonts w:ascii="Calibri" w:eastAsia="Times New Roman" w:hAnsi="Calibri" w:cs="Calibri"/>
            <w:color w:val="0000FF"/>
            <w:u w:val="single"/>
          </w:rPr>
          <w:t>https://www.bloomsbury.com/uk/gospel-women-and-the-long-ending-of-mark-9780567692405/</w:t>
        </w:r>
      </w:hyperlink>
      <w:r w:rsidR="00412D4B" w:rsidRPr="00132704">
        <w:rPr>
          <w:rFonts w:ascii="Calibri" w:eastAsia="Times New Roman" w:hAnsi="Calibri" w:cs="Calibri"/>
          <w:color w:val="000000"/>
        </w:rPr>
        <w:t> </w:t>
      </w:r>
    </w:p>
    <w:p w14:paraId="42BB087A" w14:textId="77777777" w:rsidR="00F126DA" w:rsidRDefault="00F126DA" w:rsidP="00DC2743">
      <w:pPr>
        <w:contextualSpacing/>
        <w:jc w:val="both"/>
      </w:pPr>
    </w:p>
    <w:p w14:paraId="5859B596" w14:textId="5C2BF062" w:rsidR="005A258C" w:rsidRPr="005A258C" w:rsidRDefault="005A258C" w:rsidP="00DC2743">
      <w:pPr>
        <w:contextualSpacing/>
        <w:jc w:val="both"/>
        <w:rPr>
          <w:rFonts w:cstheme="minorHAnsi"/>
          <w:color w:val="0070C0"/>
        </w:rPr>
      </w:pPr>
      <w:r w:rsidRPr="00A36D14">
        <w:rPr>
          <w:rFonts w:cstheme="minorHAnsi"/>
          <w:color w:val="0070C0"/>
        </w:rPr>
        <w:t xml:space="preserve">[Slide </w:t>
      </w:r>
      <w:r>
        <w:rPr>
          <w:rFonts w:cstheme="minorHAnsi"/>
          <w:color w:val="0070C0"/>
        </w:rPr>
        <w:t>3</w:t>
      </w:r>
      <w:r w:rsidRPr="00A36D14">
        <w:rPr>
          <w:rFonts w:cstheme="minorHAnsi"/>
          <w:color w:val="0070C0"/>
        </w:rPr>
        <w:t>]</w:t>
      </w:r>
    </w:p>
    <w:p w14:paraId="59A94607" w14:textId="0826A1F0" w:rsidR="004C59BD" w:rsidRDefault="00884C0F" w:rsidP="00DC2743">
      <w:pPr>
        <w:contextualSpacing/>
        <w:jc w:val="both"/>
      </w:pPr>
      <w:r>
        <w:t>I, like many</w:t>
      </w:r>
      <w:r w:rsidR="0083164D">
        <w:t xml:space="preserve"> modern</w:t>
      </w:r>
      <w:r>
        <w:t xml:space="preserve"> Christian readers of scripture, had not spent much time </w:t>
      </w:r>
      <w:r w:rsidR="0083164D">
        <w:t>pondering</w:t>
      </w:r>
      <w:r>
        <w:t xml:space="preserve"> the maze of endings that are found at the end of modern </w:t>
      </w:r>
      <w:r w:rsidR="0083164D">
        <w:t>English translations</w:t>
      </w:r>
      <w:r>
        <w:t xml:space="preserve"> of Mark’s Gospel. In fact, </w:t>
      </w:r>
      <w:r w:rsidR="006A3958">
        <w:t xml:space="preserve">early in my studies I became </w:t>
      </w:r>
      <w:r>
        <w:t xml:space="preserve">entranced by the provocative ways in which Mark’s apparently earliest ending at 16:8 can be read. </w:t>
      </w:r>
      <w:r w:rsidR="006A3958">
        <w:t xml:space="preserve">(I remain interested in readings that make sense of the ending with women’s fear and silence.) </w:t>
      </w:r>
      <w:r>
        <w:t xml:space="preserve">Yet, when I returned to the subject of Mark’s endings </w:t>
      </w:r>
      <w:r w:rsidR="00E044F7">
        <w:t>after increased exposure to</w:t>
      </w:r>
      <w:r>
        <w:t xml:space="preserve"> the convictions and broader literary culture of the early Christian movement, I was confounded</w:t>
      </w:r>
      <w:r w:rsidR="00E044F7">
        <w:t xml:space="preserve"> </w:t>
      </w:r>
      <w:r w:rsidR="003817FC">
        <w:t>anew</w:t>
      </w:r>
      <w:r w:rsidR="00E044F7">
        <w:t xml:space="preserve"> by the various </w:t>
      </w:r>
      <w:r w:rsidR="000303EF">
        <w:t xml:space="preserve">later </w:t>
      </w:r>
      <w:r w:rsidR="00E044F7">
        <w:t>endings</w:t>
      </w:r>
      <w:r w:rsidR="003817FC">
        <w:t xml:space="preserve"> in the manuscript tradition</w:t>
      </w:r>
      <w:r w:rsidR="00E044F7">
        <w:t xml:space="preserve">. </w:t>
      </w:r>
    </w:p>
    <w:p w14:paraId="4D1F2EEE" w14:textId="77777777" w:rsidR="00F126DA" w:rsidRDefault="00F126DA" w:rsidP="00DC2743">
      <w:pPr>
        <w:contextualSpacing/>
        <w:jc w:val="both"/>
      </w:pPr>
    </w:p>
    <w:p w14:paraId="69B68F20" w14:textId="1A40F2D9" w:rsidR="005A258C" w:rsidRPr="005A258C" w:rsidRDefault="005A258C" w:rsidP="00DC2743">
      <w:pPr>
        <w:contextualSpacing/>
        <w:jc w:val="both"/>
        <w:rPr>
          <w:rFonts w:cstheme="minorHAnsi"/>
          <w:color w:val="0070C0"/>
        </w:rPr>
      </w:pPr>
      <w:r w:rsidRPr="00A36D14">
        <w:rPr>
          <w:rFonts w:cstheme="minorHAnsi"/>
          <w:color w:val="0070C0"/>
        </w:rPr>
        <w:t xml:space="preserve">[Slide </w:t>
      </w:r>
      <w:r>
        <w:rPr>
          <w:rFonts w:cstheme="minorHAnsi"/>
          <w:color w:val="0070C0"/>
        </w:rPr>
        <w:t>4</w:t>
      </w:r>
      <w:r w:rsidRPr="00A36D14">
        <w:rPr>
          <w:rFonts w:cstheme="minorHAnsi"/>
          <w:color w:val="0070C0"/>
        </w:rPr>
        <w:t>]</w:t>
      </w:r>
    </w:p>
    <w:p w14:paraId="43CCF342" w14:textId="77777777" w:rsidR="008800CC" w:rsidRDefault="00884C0F" w:rsidP="00DC2743">
      <w:pPr>
        <w:ind w:firstLine="720"/>
        <w:contextualSpacing/>
        <w:jc w:val="both"/>
      </w:pPr>
      <w:r>
        <w:t>Mark 16:9-20—</w:t>
      </w:r>
      <w:r w:rsidR="00E044F7">
        <w:t>Mark’s “</w:t>
      </w:r>
      <w:r>
        <w:t>Long Ending</w:t>
      </w:r>
      <w:r w:rsidR="00E044F7">
        <w:t>”</w:t>
      </w:r>
      <w:r>
        <w:t xml:space="preserve">—begins by bringing a female disciple who had just failed completely in the previous verse </w:t>
      </w:r>
      <w:r w:rsidR="00E044F7">
        <w:t xml:space="preserve">(16:8) </w:t>
      </w:r>
      <w:r>
        <w:t>back onto the scene. She is granted a successful encore performance, while the wayward Eleven</w:t>
      </w:r>
      <w:r w:rsidR="000303EF">
        <w:t xml:space="preserve"> disciples</w:t>
      </w:r>
      <w:r>
        <w:t xml:space="preserve"> a</w:t>
      </w:r>
      <w:r w:rsidR="00E044F7">
        <w:t>re</w:t>
      </w:r>
      <w:r>
        <w:t xml:space="preserve"> permitted to flounder further in disbelief</w:t>
      </w:r>
      <w:r w:rsidR="00E044F7">
        <w:t xml:space="preserve"> in the textual expansion that is 16:9-20</w:t>
      </w:r>
      <w:r>
        <w:t xml:space="preserve">. In such a sparse text, as the composite appendix to Mark represents, a great deal of literary attention and description </w:t>
      </w:r>
      <w:r w:rsidR="00E044F7">
        <w:t>are</w:t>
      </w:r>
      <w:r>
        <w:t xml:space="preserve"> invested in this </w:t>
      </w:r>
      <w:r w:rsidR="00E044F7">
        <w:t xml:space="preserve">earliest </w:t>
      </w:r>
      <w:r>
        <w:t>witness to the resurrected Christ</w:t>
      </w:r>
      <w:r w:rsidR="00E044F7">
        <w:t>, the faithful Mary Magdalene</w:t>
      </w:r>
      <w:r>
        <w:t xml:space="preserve">. </w:t>
      </w:r>
      <w:r w:rsidR="00E044F7">
        <w:t>This primary female witness</w:t>
      </w:r>
      <w:r>
        <w:t xml:space="preserve"> </w:t>
      </w:r>
      <w:r w:rsidR="00E044F7">
        <w:t>is the first to receive and successfully utilize</w:t>
      </w:r>
      <w:r>
        <w:t xml:space="preserve"> </w:t>
      </w:r>
      <w:r w:rsidR="006A3958">
        <w:t>an opportunity—a second chance—to receive the news of Jesus’s resurrection and respond accordingly</w:t>
      </w:r>
      <w:r>
        <w:t xml:space="preserve">. </w:t>
      </w:r>
    </w:p>
    <w:p w14:paraId="07E7F3FB" w14:textId="405849E3" w:rsidR="00884C0F" w:rsidRDefault="006A3958" w:rsidP="00DC2743">
      <w:pPr>
        <w:ind w:firstLine="720"/>
        <w:contextualSpacing/>
        <w:jc w:val="both"/>
      </w:pPr>
      <w:r>
        <w:t>It has become</w:t>
      </w:r>
      <w:r w:rsidR="00A72DF6">
        <w:t xml:space="preserve"> axiom</w:t>
      </w:r>
      <w:r>
        <w:t>atic</w:t>
      </w:r>
      <w:r w:rsidR="00A72DF6">
        <w:t xml:space="preserve"> </w:t>
      </w:r>
      <w:r w:rsidR="00E044F7">
        <w:t xml:space="preserve">in </w:t>
      </w:r>
      <w:r w:rsidR="00E91F16">
        <w:t xml:space="preserve">biblical </w:t>
      </w:r>
      <w:r w:rsidR="00E044F7">
        <w:t xml:space="preserve">scholarship </w:t>
      </w:r>
      <w:r w:rsidR="00A72DF6">
        <w:t xml:space="preserve">that </w:t>
      </w:r>
      <w:r w:rsidR="00E044F7">
        <w:t xml:space="preserve">early </w:t>
      </w:r>
      <w:r w:rsidR="00A72DF6">
        <w:t xml:space="preserve">Christianity grows increasingly restrictive to women’s leadership as time </w:t>
      </w:r>
      <w:r w:rsidR="00E044F7">
        <w:t>passes</w:t>
      </w:r>
      <w:r>
        <w:t>.</w:t>
      </w:r>
      <w:r w:rsidR="00A72DF6">
        <w:t xml:space="preserve"> </w:t>
      </w:r>
      <w:r>
        <w:t xml:space="preserve">There is good evidence for such a trajectory. And, yet, </w:t>
      </w:r>
      <w:r w:rsidR="00E91F16">
        <w:t>th</w:t>
      </w:r>
      <w:r>
        <w:t>e</w:t>
      </w:r>
      <w:r w:rsidR="00E91F16">
        <w:t xml:space="preserve"> tex</w:t>
      </w:r>
      <w:r>
        <w:t>tual</w:t>
      </w:r>
      <w:r w:rsidR="00E91F16">
        <w:t xml:space="preserve"> </w:t>
      </w:r>
      <w:r>
        <w:t xml:space="preserve">history of the </w:t>
      </w:r>
      <w:proofErr w:type="spellStart"/>
      <w:r>
        <w:t>Markan</w:t>
      </w:r>
      <w:proofErr w:type="spellEnd"/>
      <w:r>
        <w:t xml:space="preserve"> endings bear witness to a </w:t>
      </w:r>
      <w:r w:rsidR="00E91F16">
        <w:t xml:space="preserve">demonstrable </w:t>
      </w:r>
      <w:r w:rsidR="00A72DF6">
        <w:t>interest in vindicating</w:t>
      </w:r>
      <w:r>
        <w:t xml:space="preserve"> one woman,</w:t>
      </w:r>
      <w:r w:rsidR="00A72DF6">
        <w:t xml:space="preserve"> Mary Magdalene</w:t>
      </w:r>
      <w:r>
        <w:t xml:space="preserve">, </w:t>
      </w:r>
      <w:r w:rsidR="00340E34" w:rsidRPr="00340E34">
        <w:t>by</w:t>
      </w:r>
      <w:r w:rsidRPr="00340E34">
        <w:t xml:space="preserve"> retrieving testimony to h</w:t>
      </w:r>
      <w:r>
        <w:t>er</w:t>
      </w:r>
      <w:r w:rsidR="00A72DF6">
        <w:t xml:space="preserve"> </w:t>
      </w:r>
      <w:r w:rsidR="00340E34">
        <w:t xml:space="preserve">post-resurrection encounter with the Lord, and her subsequent </w:t>
      </w:r>
      <w:r w:rsidR="004C59BD">
        <w:t xml:space="preserve">faithfulness as a </w:t>
      </w:r>
      <w:r w:rsidR="00A72DF6">
        <w:t xml:space="preserve">resurrection </w:t>
      </w:r>
      <w:r w:rsidR="00E044F7">
        <w:t>witness.</w:t>
      </w:r>
      <w:r>
        <w:t xml:space="preserve"> </w:t>
      </w:r>
    </w:p>
    <w:p w14:paraId="161752BF" w14:textId="77777777" w:rsidR="00F126DA" w:rsidRDefault="00F126DA" w:rsidP="00DC2743">
      <w:pPr>
        <w:ind w:firstLine="720"/>
        <w:contextualSpacing/>
        <w:jc w:val="both"/>
      </w:pPr>
    </w:p>
    <w:p w14:paraId="6887A405" w14:textId="1165B51A" w:rsidR="00884C0F" w:rsidRPr="005A258C" w:rsidRDefault="005A258C" w:rsidP="00DC2743">
      <w:pPr>
        <w:contextualSpacing/>
        <w:jc w:val="both"/>
        <w:rPr>
          <w:rFonts w:cstheme="minorHAnsi"/>
          <w:color w:val="0070C0"/>
        </w:rPr>
      </w:pPr>
      <w:r w:rsidRPr="00A36D14">
        <w:rPr>
          <w:rFonts w:cstheme="minorHAnsi"/>
          <w:color w:val="0070C0"/>
        </w:rPr>
        <w:t xml:space="preserve">[Slide </w:t>
      </w:r>
      <w:r>
        <w:rPr>
          <w:rFonts w:cstheme="minorHAnsi"/>
          <w:color w:val="0070C0"/>
        </w:rPr>
        <w:t>5</w:t>
      </w:r>
      <w:r w:rsidRPr="00A36D14">
        <w:rPr>
          <w:rFonts w:cstheme="minorHAnsi"/>
          <w:color w:val="0070C0"/>
        </w:rPr>
        <w:t>]</w:t>
      </w:r>
    </w:p>
    <w:p w14:paraId="4A6B8A02" w14:textId="5DF0E47E" w:rsidR="00A72DF6" w:rsidRPr="00B70330" w:rsidRDefault="00A72DF6" w:rsidP="00DC2743">
      <w:pPr>
        <w:pStyle w:val="Paragraphedeliste"/>
        <w:numPr>
          <w:ilvl w:val="0"/>
          <w:numId w:val="1"/>
        </w:numPr>
        <w:jc w:val="both"/>
        <w:rPr>
          <w:b/>
          <w:bCs/>
        </w:rPr>
      </w:pPr>
      <w:r w:rsidRPr="00B70330">
        <w:rPr>
          <w:b/>
          <w:bCs/>
        </w:rPr>
        <w:t>Scholarly patterns</w:t>
      </w:r>
    </w:p>
    <w:p w14:paraId="310FC6BC" w14:textId="369869BD" w:rsidR="005A258C" w:rsidRDefault="00C31150" w:rsidP="00DC2743">
      <w:pPr>
        <w:contextualSpacing/>
        <w:jc w:val="both"/>
      </w:pPr>
      <w:r>
        <w:t xml:space="preserve">The book’s </w:t>
      </w:r>
      <w:proofErr w:type="spellStart"/>
      <w:r w:rsidRPr="006A3958">
        <w:rPr>
          <w:i/>
          <w:iCs/>
        </w:rPr>
        <w:t>Forschungsbericht</w:t>
      </w:r>
      <w:proofErr w:type="spellEnd"/>
      <w:r>
        <w:t xml:space="preserve"> proceeds by building </w:t>
      </w:r>
      <w:r w:rsidR="00813E62">
        <w:t>upon</w:t>
      </w:r>
      <w:r>
        <w:t xml:space="preserve"> the careful review of </w:t>
      </w:r>
      <w:r w:rsidR="00D10310">
        <w:t xml:space="preserve">the scholarly landscape </w:t>
      </w:r>
      <w:r w:rsidR="00813E62">
        <w:t>concerning</w:t>
      </w:r>
      <w:r w:rsidR="00DA3B9F">
        <w:t xml:space="preserve"> </w:t>
      </w:r>
      <w:r w:rsidR="008800CC">
        <w:t xml:space="preserve">studies of the </w:t>
      </w:r>
      <w:proofErr w:type="spellStart"/>
      <w:r w:rsidR="00DA3B9F">
        <w:t>Markan</w:t>
      </w:r>
      <w:proofErr w:type="spellEnd"/>
      <w:r w:rsidR="00DA3B9F">
        <w:t xml:space="preserve"> Ending</w:t>
      </w:r>
      <w:r w:rsidR="007062DA">
        <w:t>s</w:t>
      </w:r>
      <w:r w:rsidR="00DA3B9F">
        <w:t xml:space="preserve"> found in </w:t>
      </w:r>
      <w:r>
        <w:t xml:space="preserve">James </w:t>
      </w:r>
      <w:proofErr w:type="spellStart"/>
      <w:r>
        <w:t>Kelhoffer’s</w:t>
      </w:r>
      <w:proofErr w:type="spellEnd"/>
      <w:r>
        <w:t xml:space="preserve"> 2000 book, </w:t>
      </w:r>
      <w:r>
        <w:rPr>
          <w:i/>
          <w:iCs/>
        </w:rPr>
        <w:t>Miracle and Mission</w:t>
      </w:r>
      <w:r>
        <w:t xml:space="preserve">. As such, my </w:t>
      </w:r>
      <w:r w:rsidR="00B70330">
        <w:t>survey of scholarly forebears</w:t>
      </w:r>
      <w:r>
        <w:t xml:space="preserve"> is not exhaustive, but seeks to </w:t>
      </w:r>
      <w:r>
        <w:lastRenderedPageBreak/>
        <w:t>identify patterns in the ways interpreters have approached Mark’s endings. The basic premise is that most scholars who engage Mark’s Long Ending have, to a great extent, only asked questions of originality or authenticity.</w:t>
      </w:r>
      <w:r w:rsidR="00DA3B9F">
        <w:t xml:space="preserve"> </w:t>
      </w:r>
    </w:p>
    <w:p w14:paraId="101D5600" w14:textId="77777777" w:rsidR="00CB68D8" w:rsidRDefault="00CB68D8" w:rsidP="00DC2743">
      <w:pPr>
        <w:contextualSpacing/>
        <w:jc w:val="both"/>
      </w:pPr>
    </w:p>
    <w:p w14:paraId="4547F124" w14:textId="74AD87BA" w:rsidR="005A258C" w:rsidRPr="005A258C" w:rsidRDefault="005A258C" w:rsidP="00DC2743">
      <w:pPr>
        <w:contextualSpacing/>
        <w:jc w:val="both"/>
        <w:rPr>
          <w:rFonts w:cstheme="minorHAnsi"/>
          <w:color w:val="0070C0"/>
        </w:rPr>
      </w:pPr>
      <w:r w:rsidRPr="00A36D14">
        <w:rPr>
          <w:rFonts w:cstheme="minorHAnsi"/>
          <w:color w:val="0070C0"/>
        </w:rPr>
        <w:t xml:space="preserve">[Slide </w:t>
      </w:r>
      <w:r>
        <w:rPr>
          <w:rFonts w:cstheme="minorHAnsi"/>
          <w:color w:val="0070C0"/>
        </w:rPr>
        <w:t>6</w:t>
      </w:r>
      <w:r w:rsidRPr="00A36D14">
        <w:rPr>
          <w:rFonts w:cstheme="minorHAnsi"/>
          <w:color w:val="0070C0"/>
        </w:rPr>
        <w:t>]</w:t>
      </w:r>
    </w:p>
    <w:p w14:paraId="358517B2" w14:textId="490FF0D8" w:rsidR="00C8188E" w:rsidRDefault="00DA3B9F" w:rsidP="00DC2743">
      <w:pPr>
        <w:contextualSpacing/>
        <w:jc w:val="both"/>
      </w:pPr>
      <w:r>
        <w:t xml:space="preserve">For the most part, the major “facts” of </w:t>
      </w:r>
      <w:r w:rsidR="006A3958">
        <w:t xml:space="preserve">such a </w:t>
      </w:r>
      <w:r>
        <w:t>debate have been established since the 19</w:t>
      </w:r>
      <w:r w:rsidRPr="00DA3B9F">
        <w:rPr>
          <w:vertAlign w:val="superscript"/>
        </w:rPr>
        <w:t>th</w:t>
      </w:r>
      <w:r w:rsidR="00CB1FDC">
        <w:t> </w:t>
      </w:r>
      <w:r w:rsidR="00706430">
        <w:t>century</w:t>
      </w:r>
      <w:r>
        <w:t xml:space="preserve">. (manuscript evidence, patristic attestation, and internal literary features). </w:t>
      </w:r>
      <w:r w:rsidR="006A3958">
        <w:t xml:space="preserve">In modern Biblical Studies, questions about Mark’s Long Ending largely begin and end with the question of </w:t>
      </w:r>
      <w:r w:rsidR="006A3958">
        <w:rPr>
          <w:i/>
          <w:iCs/>
        </w:rPr>
        <w:t xml:space="preserve">should it </w:t>
      </w:r>
      <w:r w:rsidR="006A3958">
        <w:t xml:space="preserve">or </w:t>
      </w:r>
      <w:r w:rsidR="006A3958" w:rsidRPr="00C8188E">
        <w:rPr>
          <w:i/>
          <w:iCs/>
        </w:rPr>
        <w:t>should it not</w:t>
      </w:r>
      <w:r w:rsidR="006A3958">
        <w:t xml:space="preserve"> be read? </w:t>
      </w:r>
    </w:p>
    <w:p w14:paraId="4905DBD0" w14:textId="77777777" w:rsidR="00CB68D8" w:rsidRDefault="00CB68D8" w:rsidP="00DC2743">
      <w:pPr>
        <w:contextualSpacing/>
        <w:jc w:val="both"/>
      </w:pPr>
    </w:p>
    <w:p w14:paraId="780DED74" w14:textId="53F708CC" w:rsidR="005A258C" w:rsidRPr="005A258C" w:rsidRDefault="005A258C" w:rsidP="00DC2743">
      <w:pPr>
        <w:contextualSpacing/>
        <w:jc w:val="both"/>
        <w:rPr>
          <w:rFonts w:cstheme="minorHAnsi"/>
          <w:color w:val="0070C0"/>
        </w:rPr>
      </w:pPr>
      <w:r w:rsidRPr="00A36D14">
        <w:rPr>
          <w:rFonts w:cstheme="minorHAnsi"/>
          <w:color w:val="0070C0"/>
        </w:rPr>
        <w:t xml:space="preserve">[Slide </w:t>
      </w:r>
      <w:r>
        <w:rPr>
          <w:rFonts w:cstheme="minorHAnsi"/>
          <w:color w:val="0070C0"/>
        </w:rPr>
        <w:t>7</w:t>
      </w:r>
      <w:r w:rsidRPr="00A36D14">
        <w:rPr>
          <w:rFonts w:cstheme="minorHAnsi"/>
          <w:color w:val="0070C0"/>
        </w:rPr>
        <w:t>]</w:t>
      </w:r>
    </w:p>
    <w:p w14:paraId="1BA03BD6" w14:textId="0397586D" w:rsidR="00C8188E" w:rsidRDefault="006A3958" w:rsidP="00DC2743">
      <w:pPr>
        <w:ind w:firstLine="720"/>
        <w:contextualSpacing/>
        <w:jc w:val="both"/>
      </w:pPr>
      <w:r>
        <w:t>The fact is that for the majority of Christian history,</w:t>
      </w:r>
      <w:r w:rsidR="00C8188E">
        <w:t xml:space="preserve"> nearly all of</w:t>
      </w:r>
      <w:r>
        <w:t xml:space="preserve"> </w:t>
      </w:r>
      <w:r w:rsidR="00C8188E">
        <w:t>those who read Mark encountered a text that proceeded from “the beginning</w:t>
      </w:r>
      <w:r w:rsidR="0081342B">
        <w:t xml:space="preserve"> of the gospel</w:t>
      </w:r>
      <w:r w:rsidR="00C8188E">
        <w:t xml:space="preserve">” at 1:1 </w:t>
      </w:r>
      <w:r w:rsidR="00C8188E" w:rsidRPr="0027456F">
        <w:t>through 16:20</w:t>
      </w:r>
      <w:r w:rsidR="0027456F" w:rsidRPr="0027456F">
        <w:t xml:space="preserve"> and</w:t>
      </w:r>
      <w:r w:rsidR="0027456F">
        <w:t xml:space="preserve"> the “signs that followed</w:t>
      </w:r>
      <w:r w:rsidR="0081342B">
        <w:t>.</w:t>
      </w:r>
      <w:r w:rsidR="0027456F">
        <w:t>”</w:t>
      </w:r>
      <w:r>
        <w:t xml:space="preserve"> </w:t>
      </w:r>
      <w:r w:rsidR="00C8188E">
        <w:t>But r</w:t>
      </w:r>
      <w:r w:rsidR="00C31150">
        <w:t xml:space="preserve">ather than dealing with the </w:t>
      </w:r>
      <w:r>
        <w:t xml:space="preserve">narrative </w:t>
      </w:r>
      <w:r w:rsidR="00C31150">
        <w:t>content or theolog</w:t>
      </w:r>
      <w:r>
        <w:t>ical implications</w:t>
      </w:r>
      <w:r w:rsidR="00C31150">
        <w:t xml:space="preserve"> of the </w:t>
      </w:r>
      <w:r w:rsidR="0081342B">
        <w:t>twelve</w:t>
      </w:r>
      <w:r w:rsidR="00C31150">
        <w:t xml:space="preserve">-verse appendix to the Gospel, </w:t>
      </w:r>
      <w:r w:rsidR="00C8188E">
        <w:t>most scholarly</w:t>
      </w:r>
      <w:r w:rsidR="00C31150">
        <w:t xml:space="preserve"> questions </w:t>
      </w:r>
      <w:r w:rsidR="00C8188E">
        <w:t>fixate on</w:t>
      </w:r>
      <w:r w:rsidR="00C31150">
        <w:t xml:space="preserve"> preliminar</w:t>
      </w:r>
      <w:r w:rsidR="00C8188E">
        <w:t>ies</w:t>
      </w:r>
      <w:r w:rsidR="00C31150">
        <w:t xml:space="preserve">: </w:t>
      </w:r>
      <w:r w:rsidR="00C8188E">
        <w:rPr>
          <w:i/>
          <w:iCs/>
        </w:rPr>
        <w:t>which ending is original</w:t>
      </w:r>
      <w:r w:rsidR="00C31150">
        <w:rPr>
          <w:i/>
          <w:iCs/>
        </w:rPr>
        <w:t>?</w:t>
      </w:r>
      <w:r w:rsidR="00C8188E">
        <w:rPr>
          <w:i/>
          <w:iCs/>
        </w:rPr>
        <w:t xml:space="preserve"> </w:t>
      </w:r>
      <w:r w:rsidR="00C8188E">
        <w:t>(The answer to th</w:t>
      </w:r>
      <w:r w:rsidR="0081342B">
        <w:t>e originality</w:t>
      </w:r>
      <w:r w:rsidR="00C8188E">
        <w:t xml:space="preserve"> question is presumed to necessitate the answer about </w:t>
      </w:r>
      <w:r w:rsidR="0081342B">
        <w:t>its authority</w:t>
      </w:r>
      <w:r w:rsidR="00C8188E" w:rsidRPr="0081342B">
        <w:t>, although</w:t>
      </w:r>
      <w:r w:rsidR="00C8188E">
        <w:t xml:space="preserve"> </w:t>
      </w:r>
      <w:r w:rsidR="0081342B">
        <w:t xml:space="preserve">how </w:t>
      </w:r>
      <w:r w:rsidR="002B11F8">
        <w:t>originality and authority are to be equated</w:t>
      </w:r>
      <w:r w:rsidR="00C8188E">
        <w:t xml:space="preserve"> is less frequently argued.) </w:t>
      </w:r>
    </w:p>
    <w:p w14:paraId="60280BC9" w14:textId="77777777" w:rsidR="00CB1FDC" w:rsidRDefault="00CB1FDC" w:rsidP="00DC2743">
      <w:pPr>
        <w:ind w:firstLine="720"/>
        <w:contextualSpacing/>
        <w:jc w:val="both"/>
      </w:pPr>
    </w:p>
    <w:p w14:paraId="11737D1E" w14:textId="4F320B51" w:rsidR="0006641C" w:rsidRPr="0006641C" w:rsidRDefault="0006641C" w:rsidP="00DC2743">
      <w:pPr>
        <w:contextualSpacing/>
        <w:jc w:val="both"/>
        <w:rPr>
          <w:rFonts w:cstheme="minorHAnsi"/>
          <w:color w:val="0070C0"/>
        </w:rPr>
      </w:pPr>
      <w:r w:rsidRPr="00A36D14">
        <w:rPr>
          <w:rFonts w:cstheme="minorHAnsi"/>
          <w:color w:val="0070C0"/>
        </w:rPr>
        <w:t xml:space="preserve">[Slide </w:t>
      </w:r>
      <w:r>
        <w:rPr>
          <w:rFonts w:cstheme="minorHAnsi"/>
          <w:color w:val="0070C0"/>
        </w:rPr>
        <w:t xml:space="preserve">8] </w:t>
      </w:r>
    </w:p>
    <w:p w14:paraId="7D7A9F45" w14:textId="7B591514" w:rsidR="00C31150" w:rsidRDefault="009C4C0B" w:rsidP="00DC2743">
      <w:pPr>
        <w:ind w:firstLine="720"/>
        <w:contextualSpacing/>
        <w:jc w:val="both"/>
      </w:pPr>
      <w:r>
        <w:t>Instead of extending the debate about whether or not the L</w:t>
      </w:r>
      <w:r w:rsidR="0041131B">
        <w:t xml:space="preserve">ong </w:t>
      </w:r>
      <w:r>
        <w:t>E</w:t>
      </w:r>
      <w:r w:rsidR="0041131B">
        <w:t>nding</w:t>
      </w:r>
      <w:r>
        <w:t xml:space="preserve"> </w:t>
      </w:r>
      <w:r w:rsidRPr="008800CC">
        <w:rPr>
          <w:i/>
          <w:iCs/>
        </w:rPr>
        <w:t>should</w:t>
      </w:r>
      <w:r>
        <w:t xml:space="preserve"> be read, this study begins with the recognition that </w:t>
      </w:r>
      <w:r w:rsidRPr="00E91F16">
        <w:t xml:space="preserve">when </w:t>
      </w:r>
      <w:r>
        <w:t xml:space="preserve">Mark </w:t>
      </w:r>
      <w:r w:rsidRPr="008800CC">
        <w:rPr>
          <w:i/>
          <w:iCs/>
        </w:rPr>
        <w:t>was</w:t>
      </w:r>
      <w:r>
        <w:t xml:space="preserve"> read</w:t>
      </w:r>
      <w:r w:rsidR="00E91F16">
        <w:t xml:space="preserve"> by many generations of Christian audiences</w:t>
      </w:r>
      <w:r>
        <w:t xml:space="preserve">, it was read through 16:20. </w:t>
      </w:r>
      <w:r w:rsidR="00106986">
        <w:t>The vast majority</w:t>
      </w:r>
      <w:r w:rsidR="00C31150">
        <w:t xml:space="preserve"> </w:t>
      </w:r>
      <w:r w:rsidR="00106986">
        <w:t xml:space="preserve">of </w:t>
      </w:r>
      <w:r w:rsidR="00C31150">
        <w:t xml:space="preserve">ancient copies </w:t>
      </w:r>
      <w:r w:rsidR="007062DA" w:rsidRPr="00844DA6">
        <w:t>ended at 16:20</w:t>
      </w:r>
      <w:r w:rsidR="007062DA">
        <w:t xml:space="preserve"> </w:t>
      </w:r>
      <w:r w:rsidR="00C31150">
        <w:t>(with the few, outstanding exceptions</w:t>
      </w:r>
      <w:r w:rsidR="009352C5">
        <w:t xml:space="preserve">, including </w:t>
      </w:r>
      <w:r w:rsidR="00C31150">
        <w:t xml:space="preserve">the great </w:t>
      </w:r>
      <w:r w:rsidR="00844DA6">
        <w:t xml:space="preserve">fourth-century </w:t>
      </w:r>
      <w:r w:rsidR="00C31150">
        <w:t>uncial codices of</w:t>
      </w:r>
      <w:r w:rsidR="00844DA6">
        <w:t xml:space="preserve"> </w:t>
      </w:r>
      <w:r w:rsidR="00844DA6" w:rsidRPr="00844DA6">
        <w:t>Sinaiticus [</w:t>
      </w:r>
      <w:r w:rsidR="009614E4" w:rsidRPr="00844DA6">
        <w:rPr>
          <w:rFonts w:ascii="SBL Hebrew" w:hAnsi="SBL Hebrew" w:cs="SBL Hebrew" w:hint="cs"/>
          <w:rtl/>
          <w:lang w:bidi="he-IL"/>
        </w:rPr>
        <w:t>א</w:t>
      </w:r>
      <w:r w:rsidR="00844DA6" w:rsidRPr="00844DA6">
        <w:t xml:space="preserve">] </w:t>
      </w:r>
      <w:r w:rsidR="00C31150" w:rsidRPr="00844DA6">
        <w:t>and</w:t>
      </w:r>
      <w:r w:rsidR="00844DA6" w:rsidRPr="00844DA6">
        <w:t xml:space="preserve"> </w:t>
      </w:r>
      <w:proofErr w:type="spellStart"/>
      <w:r w:rsidR="00844DA6" w:rsidRPr="00844DA6">
        <w:t>Vaticanus</w:t>
      </w:r>
      <w:proofErr w:type="spellEnd"/>
      <w:r w:rsidR="00C31150" w:rsidRPr="00844DA6">
        <w:t xml:space="preserve"> </w:t>
      </w:r>
      <w:r w:rsidR="00844DA6" w:rsidRPr="00844DA6">
        <w:t>[</w:t>
      </w:r>
      <w:r w:rsidR="00C31150" w:rsidRPr="00844DA6">
        <w:t>B</w:t>
      </w:r>
      <w:r w:rsidR="00844DA6" w:rsidRPr="00844DA6">
        <w:t>]</w:t>
      </w:r>
      <w:r w:rsidR="00C31150" w:rsidRPr="00844DA6">
        <w:t>)</w:t>
      </w:r>
      <w:r w:rsidR="00106986">
        <w:t xml:space="preserve">. Even so, </w:t>
      </w:r>
      <w:r w:rsidR="007062DA">
        <w:t>the overwhelming majority of manuscripts that carried through the Long Ending</w:t>
      </w:r>
      <w:r w:rsidR="00106986">
        <w:t xml:space="preserve"> </w:t>
      </w:r>
      <w:r w:rsidR="00813E62" w:rsidRPr="00844DA6">
        <w:t>did not smooth over the abrupt transition between</w:t>
      </w:r>
      <w:r w:rsidR="00813E62">
        <w:t xml:space="preserve"> 16:8 and 9</w:t>
      </w:r>
      <w:r w:rsidR="00106986">
        <w:t>. Thus,</w:t>
      </w:r>
      <w:r w:rsidR="00813E62">
        <w:t xml:space="preserve"> </w:t>
      </w:r>
      <w:r>
        <w:t xml:space="preserve">we </w:t>
      </w:r>
      <w:r w:rsidR="00106986">
        <w:t>need to</w:t>
      </w:r>
      <w:r>
        <w:t xml:space="preserve"> </w:t>
      </w:r>
      <w:r w:rsidR="00813E62">
        <w:t>ask what impact the expanded ending had on a reading of Mark</w:t>
      </w:r>
      <w:r w:rsidR="00106986">
        <w:t xml:space="preserve"> and its message</w:t>
      </w:r>
      <w:r w:rsidR="008800CC">
        <w:t xml:space="preserve"> as a whole</w:t>
      </w:r>
      <w:r>
        <w:t>.</w:t>
      </w:r>
      <w:r w:rsidR="00F61EA2">
        <w:t xml:space="preserve"> </w:t>
      </w:r>
    </w:p>
    <w:p w14:paraId="238A9229" w14:textId="77777777" w:rsidR="00CB1FDC" w:rsidRDefault="00CB1FDC" w:rsidP="00DC2743">
      <w:pPr>
        <w:ind w:firstLine="720"/>
        <w:contextualSpacing/>
        <w:jc w:val="both"/>
      </w:pPr>
    </w:p>
    <w:p w14:paraId="29215503" w14:textId="3C3DEF70" w:rsidR="0006641C" w:rsidRPr="00046CCD" w:rsidRDefault="0006641C" w:rsidP="00DC2743">
      <w:pPr>
        <w:contextualSpacing/>
        <w:jc w:val="both"/>
        <w:rPr>
          <w:rFonts w:cstheme="minorHAnsi"/>
          <w:color w:val="0070C0"/>
        </w:rPr>
      </w:pPr>
      <w:r w:rsidRPr="00A36D14">
        <w:rPr>
          <w:rFonts w:cstheme="minorHAnsi"/>
          <w:color w:val="0070C0"/>
        </w:rPr>
        <w:t xml:space="preserve">[Slide </w:t>
      </w:r>
      <w:r>
        <w:rPr>
          <w:rFonts w:cstheme="minorHAnsi"/>
          <w:color w:val="0070C0"/>
        </w:rPr>
        <w:t xml:space="preserve">9] </w:t>
      </w:r>
    </w:p>
    <w:p w14:paraId="0EA7BEC9" w14:textId="326247DE" w:rsidR="00E91F16" w:rsidRPr="00E255AA" w:rsidRDefault="00F61EA2" w:rsidP="00E255AA">
      <w:pPr>
        <w:ind w:firstLine="720"/>
        <w:contextualSpacing/>
        <w:jc w:val="both"/>
      </w:pPr>
      <w:r>
        <w:t xml:space="preserve">Although </w:t>
      </w:r>
      <w:r w:rsidR="00BC404E">
        <w:t>my survey of the relevant scholarly treatments aims to</w:t>
      </w:r>
      <w:r>
        <w:t xml:space="preserve"> </w:t>
      </w:r>
      <w:r w:rsidR="00BC404E">
        <w:t>underscore</w:t>
      </w:r>
      <w:r>
        <w:t xml:space="preserve"> the </w:t>
      </w:r>
      <w:r w:rsidR="00BB7EB1">
        <w:t xml:space="preserve">preliminary and </w:t>
      </w:r>
      <w:r>
        <w:t xml:space="preserve">repetitive nature of the questions asked </w:t>
      </w:r>
      <w:r w:rsidR="00BB7EB1">
        <w:t>of</w:t>
      </w:r>
      <w:r>
        <w:t xml:space="preserve"> Mark’s Long Ending, I do note except</w:t>
      </w:r>
      <w:r w:rsidR="0023332C">
        <w:t>i</w:t>
      </w:r>
      <w:r>
        <w:t>ons to the scholarly trends:</w:t>
      </w:r>
      <w:r w:rsidR="008800CC">
        <w:t xml:space="preserve"> treating, in particular, </w:t>
      </w:r>
      <w:r w:rsidR="005426A3">
        <w:t>books</w:t>
      </w:r>
      <w:r w:rsidR="008800CC">
        <w:t xml:space="preserve"> by</w:t>
      </w:r>
      <w:r>
        <w:t xml:space="preserve"> </w:t>
      </w:r>
      <w:proofErr w:type="spellStart"/>
      <w:r>
        <w:t>Kelhoffer</w:t>
      </w:r>
      <w:proofErr w:type="spellEnd"/>
      <w:r>
        <w:t xml:space="preserve">, Bridget Gilfillan Upton </w:t>
      </w:r>
      <w:r w:rsidR="00BC404E">
        <w:t xml:space="preserve">and </w:t>
      </w:r>
      <w:r>
        <w:t>Antoinette Clark Wire</w:t>
      </w:r>
      <w:r w:rsidR="00BC404E">
        <w:t>.</w:t>
      </w:r>
      <w:r w:rsidR="00E255AA">
        <w:t xml:space="preserve"> </w:t>
      </w:r>
      <w:r w:rsidR="00E91F16">
        <w:rPr>
          <w:rFonts w:cstheme="minorHAnsi"/>
        </w:rPr>
        <w:t>This excerpt from the book explains my approach: “</w:t>
      </w:r>
      <w:r w:rsidR="00E91F16" w:rsidRPr="00E91F16">
        <w:rPr>
          <w:rFonts w:cstheme="minorHAnsi"/>
        </w:rPr>
        <w:t>My selective exegesis of 16:9-20 and comparison to other Gospel traditions is, in some ways, an attempt to highlight what should be obvious: Mary is the first witness to the resurrection and the Eleven disbelieve. Yet, as the survey of representative treatments of the L</w:t>
      </w:r>
      <w:r w:rsidR="00EB196D">
        <w:rPr>
          <w:rFonts w:cstheme="minorHAnsi"/>
        </w:rPr>
        <w:t xml:space="preserve">ong </w:t>
      </w:r>
      <w:r w:rsidR="00E91F16" w:rsidRPr="00E91F16">
        <w:rPr>
          <w:rFonts w:cstheme="minorHAnsi"/>
        </w:rPr>
        <w:t>E</w:t>
      </w:r>
      <w:r w:rsidR="00EB196D">
        <w:rPr>
          <w:rFonts w:cstheme="minorHAnsi"/>
        </w:rPr>
        <w:t>nding</w:t>
      </w:r>
      <w:r w:rsidR="00E91F16" w:rsidRPr="00E91F16">
        <w:rPr>
          <w:rFonts w:cstheme="minorHAnsi"/>
        </w:rPr>
        <w:t xml:space="preserve"> illustrates, the characterization of Mary Magdalene and the male disciples within the spectrum of faith has not been an object of attention in studies of Mark 16:9-20. Few interpreters have explored the way that the L</w:t>
      </w:r>
      <w:r w:rsidR="00EB196D">
        <w:rPr>
          <w:rFonts w:cstheme="minorHAnsi"/>
        </w:rPr>
        <w:t xml:space="preserve">ong </w:t>
      </w:r>
      <w:r w:rsidR="00E91F16" w:rsidRPr="00E91F16">
        <w:rPr>
          <w:rFonts w:cstheme="minorHAnsi"/>
        </w:rPr>
        <w:t>E</w:t>
      </w:r>
      <w:r w:rsidR="00EB196D">
        <w:rPr>
          <w:rFonts w:cstheme="minorHAnsi"/>
        </w:rPr>
        <w:t xml:space="preserve">nding </w:t>
      </w:r>
      <w:r w:rsidR="00E91F16" w:rsidRPr="00E91F16">
        <w:rPr>
          <w:rFonts w:cstheme="minorHAnsi"/>
        </w:rPr>
        <w:t xml:space="preserve">functions as an early </w:t>
      </w:r>
      <w:r w:rsidR="00506CF1">
        <w:rPr>
          <w:rFonts w:cstheme="minorHAnsi"/>
        </w:rPr>
        <w:t>‘</w:t>
      </w:r>
      <w:r w:rsidR="00E91F16" w:rsidRPr="00E91F16">
        <w:rPr>
          <w:rFonts w:cstheme="minorHAnsi"/>
        </w:rPr>
        <w:t>reading</w:t>
      </w:r>
      <w:r w:rsidR="00506CF1">
        <w:rPr>
          <w:rFonts w:cstheme="minorHAnsi"/>
        </w:rPr>
        <w:t>’</w:t>
      </w:r>
      <w:r w:rsidR="00E91F16" w:rsidRPr="00E91F16">
        <w:rPr>
          <w:rFonts w:cstheme="minorHAnsi"/>
        </w:rPr>
        <w:t xml:space="preserve"> of Mark, supplying narrative closure to trajectories that were of interest to ancient readers (which both align with and differ from modern readers’ concerns)</w:t>
      </w:r>
      <w:r w:rsidR="005426A3">
        <w:rPr>
          <w:rFonts w:cstheme="minorHAnsi"/>
        </w:rPr>
        <w:t>.</w:t>
      </w:r>
      <w:r w:rsidR="00E91F16">
        <w:rPr>
          <w:rFonts w:cstheme="minorHAnsi"/>
        </w:rPr>
        <w:t>”</w:t>
      </w:r>
      <w:r w:rsidR="005426A3">
        <w:rPr>
          <w:rStyle w:val="Appelnotedebasdep"/>
          <w:rFonts w:cstheme="minorHAnsi"/>
        </w:rPr>
        <w:footnoteReference w:id="1"/>
      </w:r>
      <w:r w:rsidR="00E91F16">
        <w:rPr>
          <w:rFonts w:cstheme="minorHAnsi"/>
        </w:rPr>
        <w:t xml:space="preserve"> </w:t>
      </w:r>
    </w:p>
    <w:p w14:paraId="42384737" w14:textId="0410E931" w:rsidR="00CB1FDC" w:rsidRDefault="00CB1FDC" w:rsidP="00DC2743">
      <w:pPr>
        <w:tabs>
          <w:tab w:val="left" w:pos="720"/>
          <w:tab w:val="left" w:pos="4017"/>
        </w:tabs>
        <w:contextualSpacing/>
        <w:jc w:val="both"/>
        <w:rPr>
          <w:rFonts w:cstheme="minorHAnsi"/>
        </w:rPr>
      </w:pPr>
    </w:p>
    <w:p w14:paraId="17CEB8F9" w14:textId="77777777" w:rsidR="00CB1FDC" w:rsidRPr="008800CC" w:rsidRDefault="00CB1FDC" w:rsidP="00DC2743">
      <w:pPr>
        <w:tabs>
          <w:tab w:val="left" w:pos="720"/>
          <w:tab w:val="left" w:pos="4017"/>
        </w:tabs>
        <w:contextualSpacing/>
        <w:jc w:val="both"/>
        <w:rPr>
          <w:rFonts w:cstheme="minorHAnsi"/>
        </w:rPr>
      </w:pPr>
    </w:p>
    <w:p w14:paraId="69484202" w14:textId="0C318565" w:rsidR="00C31150" w:rsidRPr="00906E76" w:rsidRDefault="00906E76" w:rsidP="00DC2743">
      <w:pPr>
        <w:contextualSpacing/>
        <w:jc w:val="both"/>
        <w:rPr>
          <w:rFonts w:cstheme="minorHAnsi"/>
          <w:color w:val="0070C0"/>
        </w:rPr>
      </w:pPr>
      <w:r w:rsidRPr="00A36D14">
        <w:rPr>
          <w:rFonts w:cstheme="minorHAnsi"/>
          <w:color w:val="0070C0"/>
        </w:rPr>
        <w:t xml:space="preserve">[Slide </w:t>
      </w:r>
      <w:r>
        <w:rPr>
          <w:rFonts w:cstheme="minorHAnsi"/>
          <w:color w:val="0070C0"/>
        </w:rPr>
        <w:t>1</w:t>
      </w:r>
      <w:r w:rsidR="00FB0E8C">
        <w:rPr>
          <w:rFonts w:cstheme="minorHAnsi"/>
          <w:color w:val="0070C0"/>
        </w:rPr>
        <w:t>0</w:t>
      </w:r>
      <w:r>
        <w:rPr>
          <w:rFonts w:cstheme="minorHAnsi"/>
          <w:color w:val="0070C0"/>
        </w:rPr>
        <w:t>]</w:t>
      </w:r>
    </w:p>
    <w:p w14:paraId="558588BF" w14:textId="0AD26069" w:rsidR="00A72DF6" w:rsidRPr="00F76284" w:rsidRDefault="00A72DF6" w:rsidP="00DC2743">
      <w:pPr>
        <w:pStyle w:val="Paragraphedeliste"/>
        <w:numPr>
          <w:ilvl w:val="0"/>
          <w:numId w:val="1"/>
        </w:numPr>
        <w:jc w:val="both"/>
        <w:rPr>
          <w:b/>
          <w:bCs/>
        </w:rPr>
      </w:pPr>
      <w:r w:rsidRPr="00F76284">
        <w:rPr>
          <w:b/>
          <w:bCs/>
        </w:rPr>
        <w:t>Mary Magdalene in the L</w:t>
      </w:r>
      <w:r w:rsidR="006A32EB">
        <w:rPr>
          <w:b/>
          <w:bCs/>
        </w:rPr>
        <w:t xml:space="preserve">ong </w:t>
      </w:r>
      <w:r w:rsidRPr="00F76284">
        <w:rPr>
          <w:b/>
          <w:bCs/>
        </w:rPr>
        <w:t>E</w:t>
      </w:r>
      <w:r w:rsidR="006A32EB">
        <w:rPr>
          <w:b/>
          <w:bCs/>
        </w:rPr>
        <w:t>nding and</w:t>
      </w:r>
      <w:r w:rsidRPr="00F76284">
        <w:rPr>
          <w:b/>
          <w:bCs/>
        </w:rPr>
        <w:t xml:space="preserve"> Mark</w:t>
      </w:r>
    </w:p>
    <w:p w14:paraId="0121E459" w14:textId="67D0BB5D" w:rsidR="00DA117E" w:rsidRPr="00B10CFB" w:rsidRDefault="00F76284" w:rsidP="00B10CFB">
      <w:pPr>
        <w:jc w:val="both"/>
        <w:rPr>
          <w:rFonts w:ascii="Times New Roman" w:eastAsia="Times New Roman" w:hAnsi="Times New Roman" w:cs="Times New Roman"/>
          <w:lang w:val="fr-CH" w:eastAsia="fr-FR"/>
        </w:rPr>
      </w:pPr>
      <w:r>
        <w:t>In the mix of tradition and innovation that is the Long Ending, Mary Magdalene</w:t>
      </w:r>
      <w:r w:rsidR="00753DCF">
        <w:t>’s role is brief, but also significant</w:t>
      </w:r>
      <w:r w:rsidR="00C8188E">
        <w:t xml:space="preserve"> (Mark 16:9-11)</w:t>
      </w:r>
      <w:r w:rsidR="00753DCF">
        <w:t xml:space="preserve">. The </w:t>
      </w:r>
      <w:r w:rsidR="005629B8">
        <w:t>Long Ending</w:t>
      </w:r>
      <w:r w:rsidR="00753DCF">
        <w:t xml:space="preserve"> depicts Mary Magdalene as</w:t>
      </w:r>
      <w:r w:rsidR="00967538">
        <w:t xml:space="preserve"> encountering Jesus</w:t>
      </w:r>
      <w:r w:rsidR="00753DCF">
        <w:t xml:space="preserve"> alone (</w:t>
      </w:r>
      <w:r w:rsidR="00967538">
        <w:t>resonant of John 20:</w:t>
      </w:r>
      <w:r w:rsidR="0072720D">
        <w:t>11-18)</w:t>
      </w:r>
      <w:r w:rsidR="00967538">
        <w:t xml:space="preserve">. </w:t>
      </w:r>
      <w:r w:rsidR="0072720D">
        <w:t xml:space="preserve">In Mark 16:9, the risen Christ appears </w:t>
      </w:r>
      <w:r w:rsidR="00753DCF" w:rsidRPr="00967538">
        <w:rPr>
          <w:i/>
          <w:iCs/>
        </w:rPr>
        <w:t>first</w:t>
      </w:r>
      <w:r w:rsidR="00967538">
        <w:t xml:space="preserve"> (</w:t>
      </w:r>
      <w:r w:rsidR="00B10CFB" w:rsidRPr="00B10CFB">
        <w:rPr>
          <w:rFonts w:ascii="SBL Greek" w:hAnsi="SBL Greek" w:cs="Arial"/>
          <w:color w:val="000000" w:themeColor="text1"/>
          <w:lang w:bidi="he-IL"/>
        </w:rPr>
        <w:t>π</w:t>
      </w:r>
      <w:proofErr w:type="spellStart"/>
      <w:r w:rsidR="00B10CFB" w:rsidRPr="00B10CFB">
        <w:rPr>
          <w:rFonts w:ascii="SBL Greek" w:hAnsi="SBL Greek" w:cs="Arial"/>
          <w:color w:val="000000" w:themeColor="text1"/>
          <w:lang w:bidi="he-IL"/>
        </w:rPr>
        <w:t>ρῶτον</w:t>
      </w:r>
      <w:proofErr w:type="spellEnd"/>
      <w:r w:rsidR="00967538" w:rsidRPr="00B10CFB">
        <w:rPr>
          <w:rFonts w:ascii="SBL Greek" w:hAnsi="SBL Greek" w:cs="Arial"/>
          <w:color w:val="000000" w:themeColor="text1"/>
          <w:lang w:bidi="he-IL"/>
        </w:rPr>
        <w:t>)</w:t>
      </w:r>
      <w:r w:rsidR="00753DCF">
        <w:t xml:space="preserve"> to </w:t>
      </w:r>
      <w:r w:rsidR="0072720D">
        <w:t xml:space="preserve">Mary Magdalene. Unlike many women who have shown up in Mark’s Gospel, Mary Magdalene is </w:t>
      </w:r>
      <w:r w:rsidR="00753DCF">
        <w:t>named (rather than anonymous or identified only by familial ties)</w:t>
      </w:r>
      <w:r w:rsidR="003713A9">
        <w:t>. She is described as</w:t>
      </w:r>
      <w:r w:rsidR="00753DCF">
        <w:t xml:space="preserve"> formerly demon-possessed (so Luke</w:t>
      </w:r>
      <w:r w:rsidR="0072720D">
        <w:t xml:space="preserve"> 8:2</w:t>
      </w:r>
      <w:r w:rsidR="00753DCF">
        <w:t>)</w:t>
      </w:r>
      <w:r w:rsidR="003713A9">
        <w:t>. The Long Ending portrays Mary Magdalene as</w:t>
      </w:r>
      <w:r w:rsidR="00753DCF">
        <w:t xml:space="preserve"> a rejected proclaimer of the message </w:t>
      </w:r>
      <w:r w:rsidR="00753DCF" w:rsidRPr="00E96E27">
        <w:t xml:space="preserve">about Jesus’s </w:t>
      </w:r>
      <w:r w:rsidR="00E96E27" w:rsidRPr="00E96E27">
        <w:t xml:space="preserve">resurrected </w:t>
      </w:r>
      <w:r w:rsidR="00753DCF" w:rsidRPr="00E96E27">
        <w:t>status as living</w:t>
      </w:r>
      <w:r w:rsidR="00E96E27">
        <w:t xml:space="preserve"> (</w:t>
      </w:r>
      <w:r w:rsidR="003713A9">
        <w:t>as in</w:t>
      </w:r>
      <w:r w:rsidR="00E96E27">
        <w:t xml:space="preserve"> Luke 24:11)</w:t>
      </w:r>
      <w:r w:rsidR="00753DCF" w:rsidRPr="00E96E27">
        <w:t xml:space="preserve">. </w:t>
      </w:r>
      <w:r w:rsidR="00DA117E" w:rsidRPr="00E96E27">
        <w:t xml:space="preserve">Her encounter </w:t>
      </w:r>
      <w:r w:rsidR="003713A9">
        <w:t xml:space="preserve">with Jesus </w:t>
      </w:r>
      <w:r w:rsidR="00DA117E" w:rsidRPr="00E96E27">
        <w:t xml:space="preserve">and </w:t>
      </w:r>
      <w:r w:rsidR="003713A9">
        <w:t xml:space="preserve">her </w:t>
      </w:r>
      <w:r w:rsidR="00DA117E" w:rsidRPr="00E96E27">
        <w:t xml:space="preserve">response </w:t>
      </w:r>
      <w:r w:rsidR="003713A9">
        <w:t xml:space="preserve">of proclamation </w:t>
      </w:r>
      <w:r w:rsidR="00DA117E" w:rsidRPr="00E96E27">
        <w:t>provide</w:t>
      </w:r>
      <w:r w:rsidR="00DA117E">
        <w:t xml:space="preserve"> the pattern</w:t>
      </w:r>
      <w:r w:rsidR="0072720D">
        <w:t xml:space="preserve"> in</w:t>
      </w:r>
      <w:r w:rsidR="00DA117E">
        <w:t xml:space="preserve"> which the two disciples in transit</w:t>
      </w:r>
      <w:r w:rsidR="0072720D">
        <w:t xml:space="preserve"> follow</w:t>
      </w:r>
      <w:r w:rsidR="003713A9">
        <w:t xml:space="preserve"> in the episode immediately subsequent</w:t>
      </w:r>
      <w:r w:rsidR="00E96E27">
        <w:t xml:space="preserve"> (Mark 16:12-13). </w:t>
      </w:r>
      <w:r w:rsidR="003713A9">
        <w:t>Just like with Mary, after</w:t>
      </w:r>
      <w:r w:rsidR="0072720D" w:rsidRPr="00E96E27">
        <w:t xml:space="preserve"> Jesus</w:t>
      </w:r>
      <w:r w:rsidR="0072720D">
        <w:t xml:space="preserve"> appears to them and they</w:t>
      </w:r>
      <w:r w:rsidR="00DA117E">
        <w:t xml:space="preserve"> report </w:t>
      </w:r>
      <w:r w:rsidR="0072720D">
        <w:t xml:space="preserve">it to the rest of the disciples, </w:t>
      </w:r>
      <w:r w:rsidR="00E96E27">
        <w:t>the Eleven fail to believe again (16:11, 13).</w:t>
      </w:r>
    </w:p>
    <w:p w14:paraId="78815021" w14:textId="77777777" w:rsidR="00FA2D8D" w:rsidRDefault="00FA2D8D" w:rsidP="00DC2743">
      <w:pPr>
        <w:ind w:firstLine="720"/>
        <w:contextualSpacing/>
        <w:jc w:val="both"/>
      </w:pPr>
    </w:p>
    <w:p w14:paraId="37F60D9E" w14:textId="73FAC34C" w:rsidR="00906E76" w:rsidRPr="00906E76" w:rsidRDefault="00906E76" w:rsidP="00DC2743">
      <w:pPr>
        <w:contextualSpacing/>
        <w:jc w:val="both"/>
        <w:rPr>
          <w:rFonts w:cstheme="minorHAnsi"/>
          <w:color w:val="0070C0"/>
        </w:rPr>
      </w:pPr>
      <w:r w:rsidRPr="00A36D14">
        <w:rPr>
          <w:rFonts w:cstheme="minorHAnsi"/>
          <w:color w:val="0070C0"/>
        </w:rPr>
        <w:t xml:space="preserve">[Slide </w:t>
      </w:r>
      <w:r>
        <w:rPr>
          <w:rFonts w:cstheme="minorHAnsi"/>
          <w:color w:val="0070C0"/>
        </w:rPr>
        <w:t>1</w:t>
      </w:r>
      <w:r w:rsidR="00FB0E8C">
        <w:rPr>
          <w:rFonts w:cstheme="minorHAnsi"/>
          <w:color w:val="0070C0"/>
        </w:rPr>
        <w:t>1</w:t>
      </w:r>
      <w:r>
        <w:rPr>
          <w:rFonts w:cstheme="minorHAnsi"/>
          <w:color w:val="0070C0"/>
        </w:rPr>
        <w:t>]</w:t>
      </w:r>
    </w:p>
    <w:p w14:paraId="490DE533" w14:textId="5C401009" w:rsidR="00813E62" w:rsidRDefault="00DA117E" w:rsidP="00DC2743">
      <w:pPr>
        <w:ind w:firstLine="720"/>
        <w:contextualSpacing/>
        <w:jc w:val="both"/>
      </w:pPr>
      <w:r>
        <w:t>It is this</w:t>
      </w:r>
      <w:r w:rsidR="00813E62">
        <w:t xml:space="preserve"> </w:t>
      </w:r>
      <w:r>
        <w:t xml:space="preserve">brief but paradigmatic </w:t>
      </w:r>
      <w:r w:rsidR="00813E62">
        <w:t xml:space="preserve">encore performance </w:t>
      </w:r>
      <w:r>
        <w:t>by</w:t>
      </w:r>
      <w:r w:rsidR="00813E62">
        <w:t xml:space="preserve"> Mary Magdalene in the Long Ending</w:t>
      </w:r>
      <w:r>
        <w:t xml:space="preserve"> that</w:t>
      </w:r>
      <w:r w:rsidR="00813E62">
        <w:t xml:space="preserve"> </w:t>
      </w:r>
      <w:r w:rsidR="00534B07">
        <w:t>provoke</w:t>
      </w:r>
      <w:r w:rsidR="00F76284">
        <w:t>s</w:t>
      </w:r>
      <w:r w:rsidR="00534B07">
        <w:t xml:space="preserve"> a reinvestigation of her role in the preceding text. As one of the few named women in the Second Gospel, Mary Magdalene did not enter the narration until after Jesus’s crucifixion was complete. At that point, however, the post-crucifixion narratives </w:t>
      </w:r>
      <w:r w:rsidR="00366702">
        <w:t>highlight</w:t>
      </w:r>
      <w:r w:rsidR="00534B07">
        <w:t xml:space="preserve"> her</w:t>
      </w:r>
      <w:r w:rsidR="00366702">
        <w:t xml:space="preserve"> foremost position as</w:t>
      </w:r>
      <w:r w:rsidR="00534B07">
        <w:t xml:space="preserve"> </w:t>
      </w:r>
      <w:r w:rsidR="00534B07" w:rsidRPr="00336A4D">
        <w:t>witness to the final</w:t>
      </w:r>
      <w:r w:rsidR="00534B07">
        <w:t xml:space="preserve"> episodes in the Gospel (</w:t>
      </w:r>
      <w:r w:rsidR="00336A4D">
        <w:t xml:space="preserve">she is listed first in each repetitious and otherwise fluctuating recitation of </w:t>
      </w:r>
      <w:r w:rsidR="00336A4D" w:rsidRPr="00336A4D">
        <w:t>women’s names</w:t>
      </w:r>
      <w:r w:rsidR="00336A4D">
        <w:t xml:space="preserve"> in </w:t>
      </w:r>
      <w:r w:rsidR="0072720D" w:rsidRPr="00336A4D">
        <w:t>15:</w:t>
      </w:r>
      <w:r w:rsidR="0072720D">
        <w:t>40, 47; 16:1</w:t>
      </w:r>
      <w:r w:rsidR="00534B07">
        <w:t>).</w:t>
      </w:r>
    </w:p>
    <w:p w14:paraId="20B407D5" w14:textId="77777777" w:rsidR="00FA2D8D" w:rsidRDefault="00FA2D8D" w:rsidP="00DC2743">
      <w:pPr>
        <w:ind w:firstLine="720"/>
        <w:contextualSpacing/>
        <w:jc w:val="both"/>
      </w:pPr>
    </w:p>
    <w:p w14:paraId="0A9687FF" w14:textId="3FC238D3" w:rsidR="00F81964" w:rsidRPr="00F81964" w:rsidRDefault="00F81964" w:rsidP="00DC2743">
      <w:pPr>
        <w:contextualSpacing/>
        <w:jc w:val="both"/>
        <w:rPr>
          <w:rFonts w:cstheme="minorHAnsi"/>
          <w:color w:val="0070C0"/>
        </w:rPr>
      </w:pPr>
      <w:r w:rsidRPr="00A36D14">
        <w:rPr>
          <w:rFonts w:cstheme="minorHAnsi"/>
          <w:color w:val="0070C0"/>
        </w:rPr>
        <w:t xml:space="preserve">[Slide </w:t>
      </w:r>
      <w:r>
        <w:rPr>
          <w:rFonts w:cstheme="minorHAnsi"/>
          <w:color w:val="0070C0"/>
        </w:rPr>
        <w:t>1</w:t>
      </w:r>
      <w:r w:rsidR="00FB0E8C">
        <w:rPr>
          <w:rFonts w:cstheme="minorHAnsi"/>
          <w:color w:val="0070C0"/>
        </w:rPr>
        <w:t>2</w:t>
      </w:r>
      <w:r>
        <w:rPr>
          <w:rFonts w:cstheme="minorHAnsi"/>
          <w:color w:val="0070C0"/>
        </w:rPr>
        <w:t>]</w:t>
      </w:r>
    </w:p>
    <w:p w14:paraId="6505AB26" w14:textId="6AAEB8F8" w:rsidR="00846F82" w:rsidRDefault="0072720D" w:rsidP="00DC2743">
      <w:pPr>
        <w:ind w:firstLine="720"/>
        <w:contextualSpacing/>
        <w:jc w:val="both"/>
      </w:pPr>
      <w:r>
        <w:t xml:space="preserve">Because my study endeavors to read the Long Ending as a conclusion that was written specifically to bring the Second Gospel to completion, the characterization of women in the uncontested portion of Mark (1:1–16:8) is relevant. </w:t>
      </w:r>
      <w:r w:rsidR="009A629B">
        <w:t>In a Gospel in which Jesus’s approval of followers is scant at best, his response to several unnamed women stands out</w:t>
      </w:r>
      <w:r w:rsidR="00DA117E">
        <w:t xml:space="preserve"> as extraordinary</w:t>
      </w:r>
      <w:r w:rsidR="009A629B">
        <w:t xml:space="preserve">. </w:t>
      </w:r>
      <w:r w:rsidR="00DA117E">
        <w:t>By examining the accounts of t</w:t>
      </w:r>
      <w:r w:rsidR="009A629B">
        <w:t>he women to whom Jesus responds positively</w:t>
      </w:r>
      <w:r w:rsidR="00DA117E">
        <w:t xml:space="preserve">, we can note </w:t>
      </w:r>
      <w:r w:rsidR="00DA117E" w:rsidRPr="00FD2A56">
        <w:t>common factors of faithfulness</w:t>
      </w:r>
      <w:r w:rsidRPr="00FD2A56">
        <w:t>,</w:t>
      </w:r>
      <w:r w:rsidR="00DA117E" w:rsidRPr="00FD2A56">
        <w:t xml:space="preserve"> tenacity</w:t>
      </w:r>
      <w:r>
        <w:t>, and exemplary status</w:t>
      </w:r>
      <w:r w:rsidR="00DA117E">
        <w:t xml:space="preserve">: </w:t>
      </w:r>
      <w:r w:rsidR="005A116C">
        <w:t xml:space="preserve">in </w:t>
      </w:r>
      <w:r w:rsidR="00366702">
        <w:t xml:space="preserve">accounts of </w:t>
      </w:r>
      <w:r w:rsidR="00DA117E">
        <w:t>the woman with a hemorrhage (</w:t>
      </w:r>
      <w:r w:rsidR="009F1121">
        <w:t>Mark 5:25-34</w:t>
      </w:r>
      <w:r w:rsidR="00DA117E">
        <w:t xml:space="preserve">), </w:t>
      </w:r>
      <w:r w:rsidR="005A116C">
        <w:t xml:space="preserve">the </w:t>
      </w:r>
      <w:r w:rsidR="00DA117E">
        <w:t>generous widow (12:</w:t>
      </w:r>
      <w:r>
        <w:t>41-44</w:t>
      </w:r>
      <w:r w:rsidR="00DA117E">
        <w:t xml:space="preserve">), </w:t>
      </w:r>
      <w:r w:rsidR="00DA117E" w:rsidRPr="005A116C">
        <w:t xml:space="preserve">and </w:t>
      </w:r>
      <w:r w:rsidR="005A116C" w:rsidRPr="005A116C">
        <w:t xml:space="preserve">the </w:t>
      </w:r>
      <w:r w:rsidR="00DA117E" w:rsidRPr="005A116C">
        <w:t>woman who anoints</w:t>
      </w:r>
      <w:r w:rsidR="00DA117E">
        <w:t xml:space="preserve"> Jesus (14:3-9). I</w:t>
      </w:r>
      <w:r w:rsidR="009A629B">
        <w:t xml:space="preserve">t is noteworthy that the presentation of Mary’s encounter with the risen Christ shares these </w:t>
      </w:r>
      <w:r w:rsidR="00281D2B">
        <w:t>praised attributes</w:t>
      </w:r>
      <w:r w:rsidR="009A629B" w:rsidRPr="005A116C">
        <w:t xml:space="preserve">. </w:t>
      </w:r>
      <w:r w:rsidR="005A116C" w:rsidRPr="005A116C">
        <w:t>Mary’s</w:t>
      </w:r>
      <w:r w:rsidR="009A629B" w:rsidRPr="005A116C">
        <w:t xml:space="preserve"> depiction</w:t>
      </w:r>
      <w:r w:rsidR="009A629B">
        <w:t xml:space="preserve"> in the Long Ending sets a pattern</w:t>
      </w:r>
      <w:r w:rsidR="005A116C">
        <w:t xml:space="preserve"> outlining</w:t>
      </w:r>
      <w:r w:rsidR="009A629B">
        <w:t xml:space="preserve"> the </w:t>
      </w:r>
      <w:r w:rsidR="005A116C">
        <w:t xml:space="preserve">response to Jesus, that of </w:t>
      </w:r>
      <w:r w:rsidR="005A116C" w:rsidRPr="005A116C">
        <w:rPr>
          <w:i/>
          <w:iCs/>
        </w:rPr>
        <w:t>going</w:t>
      </w:r>
      <w:r w:rsidR="005A116C">
        <w:t xml:space="preserve"> and </w:t>
      </w:r>
      <w:r w:rsidR="005A116C" w:rsidRPr="005A116C">
        <w:rPr>
          <w:i/>
          <w:iCs/>
        </w:rPr>
        <w:t>telling</w:t>
      </w:r>
      <w:r w:rsidR="005A116C">
        <w:t>,</w:t>
      </w:r>
      <w:r w:rsidR="009A629B">
        <w:t xml:space="preserve"> that is to characterize believers subsequently</w:t>
      </w:r>
      <w:r w:rsidR="00846F82">
        <w:t xml:space="preserve"> (16:13, 15, 20)</w:t>
      </w:r>
      <w:r w:rsidR="009A629B">
        <w:t>.</w:t>
      </w:r>
    </w:p>
    <w:p w14:paraId="4BFAE7EC" w14:textId="77777777" w:rsidR="00FA2D8D" w:rsidRDefault="00FA2D8D" w:rsidP="00DC2743">
      <w:pPr>
        <w:ind w:firstLine="720"/>
        <w:contextualSpacing/>
        <w:jc w:val="both"/>
      </w:pPr>
    </w:p>
    <w:p w14:paraId="47A0A8D4" w14:textId="500CB683" w:rsidR="00846F82" w:rsidRPr="00CD2CF0" w:rsidRDefault="00CD2CF0" w:rsidP="00DC2743">
      <w:pPr>
        <w:contextualSpacing/>
        <w:jc w:val="both"/>
        <w:rPr>
          <w:rFonts w:cstheme="minorHAnsi"/>
          <w:color w:val="0070C0"/>
        </w:rPr>
      </w:pPr>
      <w:r w:rsidRPr="00A36D14">
        <w:rPr>
          <w:rFonts w:cstheme="minorHAnsi"/>
          <w:color w:val="0070C0"/>
        </w:rPr>
        <w:t xml:space="preserve">[Slide </w:t>
      </w:r>
      <w:r>
        <w:rPr>
          <w:rFonts w:cstheme="minorHAnsi"/>
          <w:color w:val="0070C0"/>
        </w:rPr>
        <w:t>1</w:t>
      </w:r>
      <w:r w:rsidR="00FB0E8C">
        <w:rPr>
          <w:rFonts w:cstheme="minorHAnsi"/>
          <w:color w:val="0070C0"/>
        </w:rPr>
        <w:t>3</w:t>
      </w:r>
      <w:r>
        <w:rPr>
          <w:rFonts w:cstheme="minorHAnsi"/>
          <w:color w:val="0070C0"/>
        </w:rPr>
        <w:t>]</w:t>
      </w:r>
    </w:p>
    <w:p w14:paraId="6D72220C" w14:textId="4B22CF94" w:rsidR="00A72DF6" w:rsidRPr="006A32EB" w:rsidRDefault="00A72DF6" w:rsidP="00DC2743">
      <w:pPr>
        <w:pStyle w:val="Paragraphedeliste"/>
        <w:numPr>
          <w:ilvl w:val="0"/>
          <w:numId w:val="1"/>
        </w:numPr>
        <w:jc w:val="both"/>
        <w:rPr>
          <w:b/>
          <w:bCs/>
        </w:rPr>
      </w:pPr>
      <w:r w:rsidRPr="006A32EB">
        <w:rPr>
          <w:b/>
          <w:bCs/>
        </w:rPr>
        <w:t xml:space="preserve">Unfaithful Disciples in the </w:t>
      </w:r>
      <w:r w:rsidR="006A32EB" w:rsidRPr="006A32EB">
        <w:rPr>
          <w:b/>
          <w:bCs/>
        </w:rPr>
        <w:t>Long Ending and</w:t>
      </w:r>
      <w:r w:rsidRPr="006A32EB">
        <w:rPr>
          <w:b/>
          <w:bCs/>
        </w:rPr>
        <w:t xml:space="preserve"> Mark</w:t>
      </w:r>
    </w:p>
    <w:p w14:paraId="08986472" w14:textId="6FDBAEAE" w:rsidR="00654D56" w:rsidRPr="00B10CFB" w:rsidRDefault="00465414" w:rsidP="00B10CFB">
      <w:pPr>
        <w:jc w:val="both"/>
        <w:rPr>
          <w:rFonts w:ascii="Times New Roman" w:eastAsia="Times New Roman" w:hAnsi="Times New Roman" w:cs="Times New Roman"/>
          <w:lang w:val="fr-CH" w:eastAsia="fr-FR"/>
        </w:rPr>
      </w:pPr>
      <w:r w:rsidRPr="008F300F">
        <w:t xml:space="preserve">It </w:t>
      </w:r>
      <w:r w:rsidR="008F300F" w:rsidRPr="008F300F">
        <w:t>is worth</w:t>
      </w:r>
      <w:r w:rsidR="008F300F">
        <w:t xml:space="preserve"> noting</w:t>
      </w:r>
      <w:r>
        <w:t xml:space="preserve"> that Jesus’s male disciples </w:t>
      </w:r>
      <w:r w:rsidR="008F300F">
        <w:t>also</w:t>
      </w:r>
      <w:r>
        <w:t xml:space="preserve"> receive </w:t>
      </w:r>
      <w:r w:rsidR="00F45C56">
        <w:t xml:space="preserve">a </w:t>
      </w:r>
      <w:proofErr w:type="gramStart"/>
      <w:r w:rsidR="00F45C56">
        <w:t>second-chance</w:t>
      </w:r>
      <w:proofErr w:type="gramEnd"/>
      <w:r w:rsidR="00805E45">
        <w:t xml:space="preserve"> within the narrative</w:t>
      </w:r>
      <w:r>
        <w:t xml:space="preserve"> to </w:t>
      </w:r>
      <w:r w:rsidR="00F45C56">
        <w:t>redeem</w:t>
      </w:r>
      <w:r w:rsidR="00805E45">
        <w:t xml:space="preserve"> </w:t>
      </w:r>
      <w:r>
        <w:t>their own fearful flight (</w:t>
      </w:r>
      <w:r w:rsidR="00FF046E">
        <w:t xml:space="preserve">see </w:t>
      </w:r>
      <w:r>
        <w:t>14:</w:t>
      </w:r>
      <w:r w:rsidR="00805E45">
        <w:t>50-52</w:t>
      </w:r>
      <w:r>
        <w:t xml:space="preserve">), like the one afforded to Mary Magdalene beyond the threshold of Mark 16:8. </w:t>
      </w:r>
      <w:r w:rsidR="008F300F">
        <w:t>They receive third and fourth chances, in fact. Mary’s</w:t>
      </w:r>
      <w:r>
        <w:t xml:space="preserve"> encounter with the risen Jesus is</w:t>
      </w:r>
      <w:r w:rsidR="00DE0D28">
        <w:t>, indeed,</w:t>
      </w:r>
      <w:r>
        <w:t xml:space="preserve"> </w:t>
      </w:r>
      <w:r w:rsidR="00DE0D28">
        <w:t>described as</w:t>
      </w:r>
      <w:r>
        <w:t xml:space="preserve"> </w:t>
      </w:r>
      <w:r w:rsidRPr="00DE0D28">
        <w:rPr>
          <w:i/>
          <w:iCs/>
        </w:rPr>
        <w:t>first</w:t>
      </w:r>
      <w:r w:rsidR="00805E45">
        <w:t xml:space="preserve"> (16:9).</w:t>
      </w:r>
      <w:r>
        <w:t xml:space="preserve"> But the Eleven receive a report of Jesus’s resurrection not only from her</w:t>
      </w:r>
      <w:r w:rsidR="00805E45">
        <w:t xml:space="preserve"> (v. 10)</w:t>
      </w:r>
      <w:r>
        <w:t xml:space="preserve">, but also from the two others </w:t>
      </w:r>
      <w:r w:rsidR="00805E45">
        <w:t>whom he encountered while they were walking</w:t>
      </w:r>
      <w:r>
        <w:t xml:space="preserve"> (</w:t>
      </w:r>
      <w:r w:rsidR="00805E45">
        <w:t>v. 13</w:t>
      </w:r>
      <w:r>
        <w:t>)</w:t>
      </w:r>
      <w:r w:rsidR="00805E45">
        <w:t>. Finally, the Eleven</w:t>
      </w:r>
      <w:r w:rsidR="00654D56">
        <w:t xml:space="preserve"> are confronted by Jesus himself</w:t>
      </w:r>
      <w:r w:rsidR="008F300F">
        <w:t xml:space="preserve"> (v. 14)</w:t>
      </w:r>
      <w:r w:rsidR="00654D56">
        <w:t xml:space="preserve">. </w:t>
      </w:r>
      <w:r w:rsidR="00654D56">
        <w:lastRenderedPageBreak/>
        <w:t xml:space="preserve">Unfortunately, the Long Ending reports that they </w:t>
      </w:r>
      <w:r w:rsidR="00805E45">
        <w:t>disbelieve the message</w:t>
      </w:r>
      <w:r w:rsidR="008F300F">
        <w:t>,</w:t>
      </w:r>
      <w:r w:rsidR="00805E45">
        <w:t xml:space="preserve"> reject</w:t>
      </w:r>
      <w:r w:rsidR="008F300F">
        <w:t xml:space="preserve">ing </w:t>
      </w:r>
      <w:r w:rsidR="00805E45">
        <w:t xml:space="preserve">the </w:t>
      </w:r>
      <w:r w:rsidR="00805E45" w:rsidRPr="008F300F">
        <w:t xml:space="preserve">messengers’ </w:t>
      </w:r>
      <w:r w:rsidR="00805E45" w:rsidRPr="008F300F">
        <w:rPr>
          <w:color w:val="000000" w:themeColor="text1"/>
        </w:rPr>
        <w:t>reports (</w:t>
      </w:r>
      <w:r w:rsidR="00CD2CF0">
        <w:rPr>
          <w:color w:val="000000" w:themeColor="text1"/>
        </w:rPr>
        <w:t xml:space="preserve">“they disbelieved” </w:t>
      </w:r>
      <w:r w:rsidR="00CD2CF0" w:rsidRPr="00B10CFB">
        <w:rPr>
          <w:color w:val="000000" w:themeColor="text1"/>
        </w:rPr>
        <w:t>[</w:t>
      </w:r>
      <w:r w:rsidR="00B10CFB" w:rsidRPr="00B10CFB">
        <w:rPr>
          <w:rFonts w:ascii="SBL Greek" w:hAnsi="SBL Greek" w:cs="Arial"/>
          <w:color w:val="000000" w:themeColor="text1"/>
          <w:lang w:bidi="he-IL"/>
        </w:rPr>
        <w:t>ἠπ</w:t>
      </w:r>
      <w:proofErr w:type="spellStart"/>
      <w:r w:rsidR="00B10CFB" w:rsidRPr="00B10CFB">
        <w:rPr>
          <w:rFonts w:ascii="SBL Greek" w:hAnsi="SBL Greek" w:cs="Arial"/>
          <w:color w:val="000000" w:themeColor="text1"/>
          <w:lang w:bidi="he-IL"/>
        </w:rPr>
        <w:t>ίστησ</w:t>
      </w:r>
      <w:proofErr w:type="spellEnd"/>
      <w:r w:rsidR="00B10CFB" w:rsidRPr="00B10CFB">
        <w:rPr>
          <w:rFonts w:ascii="SBL Greek" w:hAnsi="SBL Greek" w:cs="Arial"/>
          <w:color w:val="000000" w:themeColor="text1"/>
          <w:lang w:bidi="he-IL"/>
        </w:rPr>
        <w:t>αν</w:t>
      </w:r>
      <w:r w:rsidR="00CD2CF0" w:rsidRPr="00B10CFB">
        <w:rPr>
          <w:rFonts w:ascii="SBL Greek" w:hAnsi="SBL Greek" w:cs="Arial"/>
          <w:color w:val="000000" w:themeColor="text1"/>
          <w:lang w:bidi="he-IL"/>
        </w:rPr>
        <w:t>]</w:t>
      </w:r>
      <w:r w:rsidR="00CD2CF0">
        <w:rPr>
          <w:rFonts w:cstheme="minorHAnsi"/>
          <w:color w:val="000000" w:themeColor="text1"/>
          <w:lang w:bidi="he-IL"/>
        </w:rPr>
        <w:t>,</w:t>
      </w:r>
      <w:r w:rsidR="00425AA3" w:rsidRPr="00425AA3">
        <w:rPr>
          <w:rFonts w:cstheme="minorHAnsi"/>
          <w:color w:val="000000" w:themeColor="text1"/>
          <w:lang w:bidi="he-IL"/>
        </w:rPr>
        <w:t xml:space="preserve"> </w:t>
      </w:r>
      <w:r w:rsidR="00425AA3" w:rsidRPr="00CD2CF0">
        <w:rPr>
          <w:rFonts w:cstheme="minorHAnsi"/>
          <w:color w:val="000000" w:themeColor="text1"/>
          <w:lang w:bidi="he-IL"/>
        </w:rPr>
        <w:t>v. 1</w:t>
      </w:r>
      <w:r w:rsidR="00B10CFB">
        <w:rPr>
          <w:rFonts w:cstheme="minorHAnsi"/>
          <w:color w:val="000000" w:themeColor="text1"/>
          <w:lang w:bidi="he-IL"/>
        </w:rPr>
        <w:t>1</w:t>
      </w:r>
      <w:r w:rsidR="00425AA3" w:rsidRPr="00CD2CF0">
        <w:rPr>
          <w:rFonts w:cstheme="minorHAnsi"/>
          <w:color w:val="000000" w:themeColor="text1"/>
          <w:lang w:bidi="he-IL"/>
        </w:rPr>
        <w:t xml:space="preserve">; </w:t>
      </w:r>
      <w:r w:rsidR="00CD2CF0" w:rsidRPr="00CD2CF0">
        <w:rPr>
          <w:rFonts w:cstheme="minorHAnsi"/>
          <w:color w:val="000000" w:themeColor="text1"/>
          <w:lang w:bidi="he-IL"/>
        </w:rPr>
        <w:t>“neither did those men believe” [</w:t>
      </w:r>
      <w:proofErr w:type="spellStart"/>
      <w:r w:rsidR="00425AA3" w:rsidRPr="00425AA3">
        <w:rPr>
          <w:rFonts w:ascii="SBL Greek" w:hAnsi="SBL Greek" w:cs="Arial"/>
          <w:color w:val="000000" w:themeColor="text1"/>
          <w:lang w:bidi="he-IL"/>
        </w:rPr>
        <w:t>οὐδε</w:t>
      </w:r>
      <w:proofErr w:type="spellEnd"/>
      <w:r w:rsidR="00425AA3" w:rsidRPr="00425AA3">
        <w:rPr>
          <w:rFonts w:ascii="SBL Greek" w:hAnsi="SBL Greek" w:cs="Arial"/>
          <w:color w:val="000000" w:themeColor="text1"/>
          <w:lang w:bidi="he-IL"/>
        </w:rPr>
        <w:t xml:space="preserve">̀ </w:t>
      </w:r>
      <w:proofErr w:type="spellStart"/>
      <w:r w:rsidR="00425AA3" w:rsidRPr="00425AA3">
        <w:rPr>
          <w:rFonts w:ascii="SBL Greek" w:hAnsi="SBL Greek" w:cs="Arial"/>
          <w:color w:val="000000" w:themeColor="text1"/>
          <w:lang w:bidi="he-IL"/>
        </w:rPr>
        <w:t>ἐκείνοις</w:t>
      </w:r>
      <w:proofErr w:type="spellEnd"/>
      <w:r w:rsidR="00425AA3" w:rsidRPr="00425AA3">
        <w:rPr>
          <w:rFonts w:ascii="SBL Greek" w:hAnsi="SBL Greek" w:cs="Arial"/>
          <w:color w:val="000000" w:themeColor="text1"/>
          <w:lang w:bidi="he-IL"/>
        </w:rPr>
        <w:t xml:space="preserve"> ἐπ</w:t>
      </w:r>
      <w:proofErr w:type="spellStart"/>
      <w:r w:rsidR="00425AA3" w:rsidRPr="00425AA3">
        <w:rPr>
          <w:rFonts w:ascii="SBL Greek" w:hAnsi="SBL Greek" w:cs="Arial"/>
          <w:color w:val="000000" w:themeColor="text1"/>
          <w:lang w:bidi="he-IL"/>
        </w:rPr>
        <w:t>ίστευσ</w:t>
      </w:r>
      <w:proofErr w:type="spellEnd"/>
      <w:r w:rsidR="00425AA3" w:rsidRPr="00425AA3">
        <w:rPr>
          <w:rFonts w:ascii="SBL Greek" w:hAnsi="SBL Greek" w:cs="Arial"/>
          <w:color w:val="000000" w:themeColor="text1"/>
          <w:lang w:bidi="he-IL"/>
        </w:rPr>
        <w:t>αν</w:t>
      </w:r>
      <w:r w:rsidR="00CD2CF0" w:rsidRPr="00CD2CF0">
        <w:rPr>
          <w:rFonts w:cstheme="minorHAnsi"/>
          <w:color w:val="000000" w:themeColor="text1"/>
          <w:lang w:bidi="he-IL"/>
        </w:rPr>
        <w:t>]</w:t>
      </w:r>
      <w:r w:rsidR="00425AA3" w:rsidRPr="00CD2CF0">
        <w:rPr>
          <w:rFonts w:cstheme="minorHAnsi"/>
          <w:color w:val="000000" w:themeColor="text1"/>
          <w:lang w:bidi="he-IL"/>
        </w:rPr>
        <w:t>, v. 13</w:t>
      </w:r>
      <w:r w:rsidR="00805E45" w:rsidRPr="00CD2CF0">
        <w:rPr>
          <w:rFonts w:cstheme="minorHAnsi"/>
          <w:color w:val="000000" w:themeColor="text1"/>
        </w:rPr>
        <w:t>)</w:t>
      </w:r>
      <w:r w:rsidR="00654D56" w:rsidRPr="00CD2CF0">
        <w:rPr>
          <w:rFonts w:cstheme="minorHAnsi"/>
          <w:color w:val="000000" w:themeColor="text1"/>
        </w:rPr>
        <w:t>. Indeed</w:t>
      </w:r>
      <w:r w:rsidR="00654D56" w:rsidRPr="00425AA3">
        <w:rPr>
          <w:color w:val="000000" w:themeColor="text1"/>
        </w:rPr>
        <w:t>, when their res</w:t>
      </w:r>
      <w:r w:rsidR="00654D56" w:rsidRPr="00425AA3">
        <w:t>urrected Lord appears in their midst, the reunion begins with re</w:t>
      </w:r>
      <w:r w:rsidR="00AF02B0">
        <w:t>proach</w:t>
      </w:r>
      <w:r w:rsidR="00654D56" w:rsidRPr="00425AA3">
        <w:t xml:space="preserve"> rather than rejoicing</w:t>
      </w:r>
      <w:r w:rsidR="00A41F25">
        <w:t xml:space="preserve"> (v. 14)</w:t>
      </w:r>
      <w:r w:rsidR="00654D56" w:rsidRPr="00425AA3">
        <w:t>.</w:t>
      </w:r>
    </w:p>
    <w:p w14:paraId="758470E9" w14:textId="77777777" w:rsidR="00E123E8" w:rsidRDefault="00E123E8" w:rsidP="00DC2743">
      <w:pPr>
        <w:contextualSpacing/>
        <w:jc w:val="both"/>
      </w:pPr>
    </w:p>
    <w:p w14:paraId="1689DA0E" w14:textId="4FEF1256" w:rsidR="00AF02B0" w:rsidRPr="00AF02B0" w:rsidRDefault="00AF02B0" w:rsidP="00DC2743">
      <w:pPr>
        <w:contextualSpacing/>
        <w:jc w:val="both"/>
        <w:rPr>
          <w:rFonts w:cstheme="minorHAnsi"/>
          <w:color w:val="0070C0"/>
        </w:rPr>
      </w:pPr>
      <w:r w:rsidRPr="00A36D14">
        <w:rPr>
          <w:rFonts w:cstheme="minorHAnsi"/>
          <w:color w:val="0070C0"/>
        </w:rPr>
        <w:t xml:space="preserve">[Slide </w:t>
      </w:r>
      <w:r>
        <w:rPr>
          <w:rFonts w:cstheme="minorHAnsi"/>
          <w:color w:val="0070C0"/>
        </w:rPr>
        <w:t>1</w:t>
      </w:r>
      <w:r w:rsidR="00FB0E8C">
        <w:rPr>
          <w:rFonts w:cstheme="minorHAnsi"/>
          <w:color w:val="0070C0"/>
        </w:rPr>
        <w:t>4</w:t>
      </w:r>
      <w:r>
        <w:rPr>
          <w:rFonts w:cstheme="minorHAnsi"/>
          <w:color w:val="0070C0"/>
        </w:rPr>
        <w:t>]</w:t>
      </w:r>
    </w:p>
    <w:p w14:paraId="25B01823" w14:textId="33FA68C9" w:rsidR="00654D56" w:rsidRDefault="009E1D0C" w:rsidP="00DC2743">
      <w:pPr>
        <w:ind w:firstLine="720"/>
        <w:contextualSpacing/>
        <w:jc w:val="both"/>
      </w:pPr>
      <w:r>
        <w:t>T</w:t>
      </w:r>
      <w:r w:rsidR="00654D56" w:rsidRPr="00425AA3">
        <w:t>he abrupt transition between scolding (</w:t>
      </w:r>
      <w:r w:rsidR="0057187C">
        <w:t>v. 14</w:t>
      </w:r>
      <w:r w:rsidR="00654D56" w:rsidRPr="00425AA3">
        <w:t>)</w:t>
      </w:r>
      <w:r w:rsidR="00654D56">
        <w:t xml:space="preserve"> and glorious commissioning (</w:t>
      </w:r>
      <w:r w:rsidR="0057187C">
        <w:t>v. 15</w:t>
      </w:r>
      <w:r w:rsidR="00654D56">
        <w:t xml:space="preserve">) must have struck at least one ancient reader as odd, </w:t>
      </w:r>
      <w:r w:rsidR="0057187C">
        <w:t>as another manuscript variant</w:t>
      </w:r>
      <w:r w:rsidR="00654D56">
        <w:t xml:space="preserve"> bears witness. </w:t>
      </w:r>
      <w:r w:rsidR="00C3748F">
        <w:t>The Freer Logion (found only in Codex W and in Latin translation in Jerome</w:t>
      </w:r>
      <w:r w:rsidR="006C2883">
        <w:t xml:space="preserve">, </w:t>
      </w:r>
      <w:proofErr w:type="spellStart"/>
      <w:r w:rsidR="006C2883">
        <w:rPr>
          <w:i/>
          <w:iCs/>
        </w:rPr>
        <w:t>Pelag</w:t>
      </w:r>
      <w:proofErr w:type="spellEnd"/>
      <w:r w:rsidR="006C2883">
        <w:rPr>
          <w:i/>
          <w:iCs/>
        </w:rPr>
        <w:t>.</w:t>
      </w:r>
      <w:r w:rsidR="006C2883">
        <w:t xml:space="preserve"> II.15 1-9</w:t>
      </w:r>
      <w:r w:rsidR="00C3748F">
        <w:t xml:space="preserve">) contains their excuse, smoothing out the seams between condemnation and commission. </w:t>
      </w:r>
      <w:r w:rsidR="007C6592">
        <w:t>It is striking, then</w:t>
      </w:r>
      <w:r w:rsidR="00AF4EA8">
        <w:t>,</w:t>
      </w:r>
      <w:r w:rsidR="007C6592">
        <w:t xml:space="preserve"> that a bridge between failure and success is not found in any other copies of Mark’s Long Ending. Although</w:t>
      </w:r>
      <w:r w:rsidR="00654D56">
        <w:t xml:space="preserve"> </w:t>
      </w:r>
      <w:r w:rsidR="007C6592">
        <w:t>16:9-14</w:t>
      </w:r>
      <w:r w:rsidR="00654D56">
        <w:t xml:space="preserve"> reports that the male disciples persisted in and</w:t>
      </w:r>
      <w:r w:rsidR="007C6592">
        <w:t xml:space="preserve"> even</w:t>
      </w:r>
      <w:r w:rsidR="00654D56">
        <w:t xml:space="preserve"> intensified their faithlessness, it assumes (without narrating</w:t>
      </w:r>
      <w:r w:rsidR="007C6592">
        <w:t xml:space="preserve"> it</w:t>
      </w:r>
      <w:r w:rsidR="00654D56">
        <w:t>) their hasty reformation into effective witness</w:t>
      </w:r>
      <w:r w:rsidR="008800CC">
        <w:t>es</w:t>
      </w:r>
      <w:r w:rsidR="00654D56">
        <w:t xml:space="preserve"> to the </w:t>
      </w:r>
      <w:r w:rsidR="00654D56" w:rsidRPr="00E069C2">
        <w:t>resurrection.</w:t>
      </w:r>
    </w:p>
    <w:p w14:paraId="2892AC2E" w14:textId="77777777" w:rsidR="00E123E8" w:rsidRDefault="00E123E8" w:rsidP="00DC2743">
      <w:pPr>
        <w:ind w:firstLine="720"/>
        <w:contextualSpacing/>
        <w:jc w:val="both"/>
      </w:pPr>
    </w:p>
    <w:p w14:paraId="3989B61E" w14:textId="7911A44B" w:rsidR="00E069C2" w:rsidRPr="00E069C2" w:rsidRDefault="00E069C2" w:rsidP="00DC2743">
      <w:pPr>
        <w:contextualSpacing/>
        <w:jc w:val="both"/>
        <w:rPr>
          <w:rFonts w:cstheme="minorHAnsi"/>
          <w:color w:val="0070C0"/>
        </w:rPr>
      </w:pPr>
      <w:r w:rsidRPr="00A36D14">
        <w:rPr>
          <w:rFonts w:cstheme="minorHAnsi"/>
          <w:color w:val="0070C0"/>
        </w:rPr>
        <w:t xml:space="preserve">[Slide </w:t>
      </w:r>
      <w:r>
        <w:rPr>
          <w:rFonts w:cstheme="minorHAnsi"/>
          <w:color w:val="0070C0"/>
        </w:rPr>
        <w:t>1</w:t>
      </w:r>
      <w:r w:rsidR="00FB0E8C">
        <w:rPr>
          <w:rFonts w:cstheme="minorHAnsi"/>
          <w:color w:val="0070C0"/>
        </w:rPr>
        <w:t>5</w:t>
      </w:r>
      <w:r>
        <w:rPr>
          <w:rFonts w:cstheme="minorHAnsi"/>
          <w:color w:val="0070C0"/>
        </w:rPr>
        <w:t>]</w:t>
      </w:r>
    </w:p>
    <w:p w14:paraId="59CCF44D" w14:textId="1DE42D4A" w:rsidR="008E4288" w:rsidRDefault="00C70EEE" w:rsidP="00DC2743">
      <w:pPr>
        <w:ind w:firstLine="720"/>
        <w:contextualSpacing/>
        <w:jc w:val="both"/>
      </w:pPr>
      <w:r>
        <w:t xml:space="preserve">Whereas </w:t>
      </w:r>
      <w:r w:rsidR="0013449A">
        <w:t xml:space="preserve">the </w:t>
      </w:r>
      <w:r>
        <w:t xml:space="preserve">lack of credulity may have been seen as an ancient feature of manliness (in contrast to </w:t>
      </w:r>
      <w:r w:rsidR="00B065BA">
        <w:t xml:space="preserve">supposedly </w:t>
      </w:r>
      <w:r>
        <w:t>gullible women), belie</w:t>
      </w:r>
      <w:r w:rsidR="002C12FC">
        <w:t xml:space="preserve">ving Jesus is a </w:t>
      </w:r>
      <w:r>
        <w:t xml:space="preserve">positive attribute throughout </w:t>
      </w:r>
      <w:r w:rsidR="00737536">
        <w:t xml:space="preserve">the broader Gospel According to </w:t>
      </w:r>
      <w:r>
        <w:t>Mark. Another feature of ancient perceptions of manly virtue—stoic impassivity—deserves closer inspection. Jesus</w:t>
      </w:r>
      <w:r w:rsidR="002C12FC">
        <w:t xml:space="preserve"> himself</w:t>
      </w:r>
      <w:r>
        <w:t xml:space="preserve"> expresses </w:t>
      </w:r>
      <w:r w:rsidRPr="00E460DF">
        <w:t>extreme emotion</w:t>
      </w:r>
      <w:r w:rsidR="00692BE8">
        <w:t xml:space="preserve"> when warranted</w:t>
      </w:r>
      <w:r w:rsidR="008800CC" w:rsidRPr="00E460DF">
        <w:t xml:space="preserve"> (</w:t>
      </w:r>
      <w:r w:rsidR="00E460DF" w:rsidRPr="00E460DF">
        <w:t>e.g., 11:15; 14:33-34</w:t>
      </w:r>
      <w:r w:rsidR="00692BE8">
        <w:t>)</w:t>
      </w:r>
      <w:r w:rsidR="0031207E">
        <w:t>. Thus, the male disciples’ mourning and weeping in 16:10 would not be portrayed critically in the proper context</w:t>
      </w:r>
      <w:r w:rsidR="00E460DF">
        <w:t>.</w:t>
      </w:r>
      <w:r>
        <w:t xml:space="preserve"> </w:t>
      </w:r>
      <w:r w:rsidR="00B065BA">
        <w:t>I</w:t>
      </w:r>
      <w:r>
        <w:t>t is possible</w:t>
      </w:r>
      <w:r w:rsidR="00E460DF">
        <w:t>, however,</w:t>
      </w:r>
      <w:r>
        <w:t xml:space="preserve"> that </w:t>
      </w:r>
      <w:r w:rsidR="00E460DF">
        <w:t xml:space="preserve">it is </w:t>
      </w:r>
      <w:r>
        <w:t xml:space="preserve">the Eleven’s mourning </w:t>
      </w:r>
      <w:r w:rsidR="00E460DF">
        <w:t>for a</w:t>
      </w:r>
      <w:r>
        <w:t xml:space="preserve"> Lord who is</w:t>
      </w:r>
      <w:r w:rsidR="002C12FC">
        <w:t xml:space="preserve"> </w:t>
      </w:r>
      <w:r>
        <w:t xml:space="preserve">not </w:t>
      </w:r>
      <w:r w:rsidR="002C12FC">
        <w:rPr>
          <w:i/>
          <w:iCs/>
        </w:rPr>
        <w:t xml:space="preserve">actually </w:t>
      </w:r>
      <w:r>
        <w:t xml:space="preserve">dead </w:t>
      </w:r>
      <w:r w:rsidR="00687F68">
        <w:t xml:space="preserve">that </w:t>
      </w:r>
      <w:r>
        <w:t>should be perceived as worthy of scorn. Mary Magdalene’s bold proclamation</w:t>
      </w:r>
      <w:r w:rsidR="002C12FC">
        <w:t>—without any reference to her emotional state</w:t>
      </w:r>
      <w:r w:rsidR="00053A77">
        <w:t xml:space="preserve"> (unlike in John 20:11, 13, 15)</w:t>
      </w:r>
      <w:r w:rsidR="002C12FC">
        <w:t>—</w:t>
      </w:r>
      <w:r>
        <w:t xml:space="preserve">to a </w:t>
      </w:r>
      <w:r w:rsidR="002C12FC">
        <w:t>collection</w:t>
      </w:r>
      <w:r>
        <w:t xml:space="preserve"> of weeping male disciples can be read through the lens of gendered expectations as establishing her as </w:t>
      </w:r>
      <w:r w:rsidRPr="008800CC">
        <w:rPr>
          <w:i/>
          <w:iCs/>
        </w:rPr>
        <w:t>the</w:t>
      </w:r>
      <w:r>
        <w:t xml:space="preserve"> model disciple and them as a cautionary tale of </w:t>
      </w:r>
      <w:r w:rsidR="002C12FC">
        <w:t xml:space="preserve">weak </w:t>
      </w:r>
      <w:r>
        <w:t xml:space="preserve">faithlessness (see </w:t>
      </w:r>
      <w:r w:rsidRPr="006D28C7">
        <w:t xml:space="preserve">16:10-11). </w:t>
      </w:r>
      <w:r w:rsidR="00F61EA2" w:rsidRPr="006D28C7">
        <w:t>Beyond viewing Mary’s witness in its own light, her faithfulness and obedience are</w:t>
      </w:r>
      <w:r w:rsidR="00F61EA2">
        <w:t xml:space="preserve"> highlighted as the Eleven’s initial responses to the witnesses’ testimonies stand in stark contrast.</w:t>
      </w:r>
    </w:p>
    <w:p w14:paraId="55AA3BC9" w14:textId="77777777" w:rsidR="00E123E8" w:rsidRDefault="00E123E8" w:rsidP="00DC2743">
      <w:pPr>
        <w:ind w:firstLine="720"/>
        <w:contextualSpacing/>
        <w:jc w:val="both"/>
      </w:pPr>
    </w:p>
    <w:p w14:paraId="77A79559" w14:textId="7D49B620" w:rsidR="00465414" w:rsidRPr="00921246" w:rsidRDefault="00465414" w:rsidP="00DC2743">
      <w:pPr>
        <w:contextualSpacing/>
        <w:jc w:val="both"/>
        <w:rPr>
          <w:rFonts w:cstheme="minorHAnsi"/>
          <w:color w:val="0070C0"/>
        </w:rPr>
      </w:pPr>
      <w:r>
        <w:t xml:space="preserve"> </w:t>
      </w:r>
      <w:r w:rsidR="00921246" w:rsidRPr="00A36D14">
        <w:rPr>
          <w:rFonts w:cstheme="minorHAnsi"/>
          <w:color w:val="0070C0"/>
        </w:rPr>
        <w:t xml:space="preserve">[Slide </w:t>
      </w:r>
      <w:r w:rsidR="00921246">
        <w:rPr>
          <w:rFonts w:cstheme="minorHAnsi"/>
          <w:color w:val="0070C0"/>
        </w:rPr>
        <w:t>1</w:t>
      </w:r>
      <w:r w:rsidR="00FB0E8C">
        <w:rPr>
          <w:rFonts w:cstheme="minorHAnsi"/>
          <w:color w:val="0070C0"/>
        </w:rPr>
        <w:t>6</w:t>
      </w:r>
      <w:r w:rsidR="00921246">
        <w:rPr>
          <w:rFonts w:cstheme="minorHAnsi"/>
          <w:color w:val="0070C0"/>
        </w:rPr>
        <w:t>]</w:t>
      </w:r>
    </w:p>
    <w:p w14:paraId="461850E0" w14:textId="6690218D" w:rsidR="00A72DF6" w:rsidRPr="006A32EB" w:rsidRDefault="00A72DF6" w:rsidP="00DC2743">
      <w:pPr>
        <w:pStyle w:val="Paragraphedeliste"/>
        <w:numPr>
          <w:ilvl w:val="0"/>
          <w:numId w:val="1"/>
        </w:numPr>
        <w:jc w:val="both"/>
        <w:rPr>
          <w:b/>
          <w:bCs/>
        </w:rPr>
      </w:pPr>
      <w:r w:rsidRPr="006A32EB">
        <w:rPr>
          <w:b/>
          <w:bCs/>
        </w:rPr>
        <w:t>Implications: Discipleship in light of Mary Magdalene</w:t>
      </w:r>
      <w:r w:rsidR="00855D4F">
        <w:rPr>
          <w:b/>
          <w:bCs/>
        </w:rPr>
        <w:t xml:space="preserve"> in the Long Ending</w:t>
      </w:r>
    </w:p>
    <w:p w14:paraId="7660BCFB" w14:textId="7405DD30" w:rsidR="003A643A" w:rsidRDefault="0081778E" w:rsidP="00DC2743">
      <w:pPr>
        <w:contextualSpacing/>
        <w:jc w:val="both"/>
      </w:pPr>
      <w:r>
        <w:t>It is taken as a given, and with quite a bit of evidence in support, that early Christianity evidenced a rapid restriction of women’s leadership and involvement as the movement grew</w:t>
      </w:r>
      <w:r w:rsidR="006D28C7">
        <w:t xml:space="preserve"> and developed</w:t>
      </w:r>
      <w:r>
        <w:t xml:space="preserve">. In light of such a </w:t>
      </w:r>
      <w:r w:rsidR="0088747B">
        <w:t>shift</w:t>
      </w:r>
      <w:r>
        <w:t xml:space="preserve">, however, the </w:t>
      </w:r>
      <w:r w:rsidR="0004632F">
        <w:t>quick and widespread</w:t>
      </w:r>
      <w:r>
        <w:t xml:space="preserve"> acceptance </w:t>
      </w:r>
      <w:r w:rsidR="006D28C7">
        <w:t xml:space="preserve">of </w:t>
      </w:r>
      <w:r w:rsidR="0004632F">
        <w:t>the</w:t>
      </w:r>
      <w:r>
        <w:t xml:space="preserve"> </w:t>
      </w:r>
      <w:r w:rsidR="006D28C7">
        <w:t>L</w:t>
      </w:r>
      <w:r>
        <w:t xml:space="preserve">ong </w:t>
      </w:r>
      <w:r w:rsidR="006D28C7">
        <w:t>E</w:t>
      </w:r>
      <w:r>
        <w:t xml:space="preserve">nding </w:t>
      </w:r>
      <w:r w:rsidR="0004632F">
        <w:t xml:space="preserve">as the conclusion to the Second Gospel </w:t>
      </w:r>
      <w:r>
        <w:t>stands out as a prominent example</w:t>
      </w:r>
      <w:r w:rsidR="00805E45">
        <w:t xml:space="preserve"> </w:t>
      </w:r>
      <w:r w:rsidR="0088747B">
        <w:t>of a</w:t>
      </w:r>
      <w:r w:rsidR="00805E45">
        <w:t xml:space="preserve"> contrary</w:t>
      </w:r>
      <w:r w:rsidR="0088747B">
        <w:t xml:space="preserve"> tendency</w:t>
      </w:r>
      <w:r>
        <w:t xml:space="preserve">. In </w:t>
      </w:r>
      <w:r w:rsidR="0004632F">
        <w:t>the Long Ending</w:t>
      </w:r>
      <w:r>
        <w:t>, Mary Magdalene is highlighted as the first and pattern</w:t>
      </w:r>
      <w:r w:rsidR="006D28C7">
        <w:t>-</w:t>
      </w:r>
      <w:r>
        <w:t>defining witness to Jesus’s resurrection. Her pattern of going and telling becomes definitive of what faithfulness looks like in the post</w:t>
      </w:r>
      <w:r w:rsidR="006D28C7">
        <w:t>-</w:t>
      </w:r>
      <w:r>
        <w:t>resurrection context for Jesus</w:t>
      </w:r>
      <w:r w:rsidR="006D28C7">
        <w:t>’s</w:t>
      </w:r>
      <w:r>
        <w:t xml:space="preserve"> followers. </w:t>
      </w:r>
    </w:p>
    <w:p w14:paraId="3D2344BF" w14:textId="772B620E" w:rsidR="00A064A3" w:rsidRDefault="0004632F" w:rsidP="00DC2743">
      <w:pPr>
        <w:ind w:firstLine="720"/>
        <w:contextualSpacing/>
        <w:jc w:val="both"/>
      </w:pPr>
      <w:r>
        <w:t xml:space="preserve">Perhaps even more astonishing, the Long Ending evidences </w:t>
      </w:r>
      <w:r w:rsidR="0081778E">
        <w:t xml:space="preserve">willingness to extend the </w:t>
      </w:r>
      <w:r w:rsidR="00805E45">
        <w:t xml:space="preserve">narrated </w:t>
      </w:r>
      <w:r w:rsidR="0081778E">
        <w:t>disbelief and disfavor of Jesus</w:t>
      </w:r>
      <w:r w:rsidR="00805E45">
        <w:t>’</w:t>
      </w:r>
      <w:r w:rsidR="0081778E">
        <w:t xml:space="preserve">s male disciples, men who unquestionably became heroes of the early Christian movement. Arguably, the author of the appendix to </w:t>
      </w:r>
      <w:r w:rsidR="00805E45">
        <w:t>M</w:t>
      </w:r>
      <w:r w:rsidR="0081778E">
        <w:t>ark</w:t>
      </w:r>
      <w:r w:rsidR="00805E45">
        <w:t>’</w:t>
      </w:r>
      <w:r w:rsidR="0081778E">
        <w:t xml:space="preserve">s </w:t>
      </w:r>
      <w:r w:rsidR="00805E45">
        <w:t>G</w:t>
      </w:r>
      <w:r w:rsidR="0081778E">
        <w:t xml:space="preserve">ospel that comprises what is now </w:t>
      </w:r>
      <w:r w:rsidR="00805E45">
        <w:t xml:space="preserve">16:9-20 </w:t>
      </w:r>
      <w:r w:rsidR="0081778E">
        <w:t xml:space="preserve">picked up on trends already evident within </w:t>
      </w:r>
      <w:r w:rsidR="00805E45">
        <w:t>Mark 1:1–16:8</w:t>
      </w:r>
      <w:r w:rsidR="0081778E">
        <w:t xml:space="preserve">. Those </w:t>
      </w:r>
      <w:r w:rsidR="0081778E" w:rsidRPr="003A643A">
        <w:t xml:space="preserve">trends included </w:t>
      </w:r>
      <w:r w:rsidR="003A643A" w:rsidRPr="003A643A">
        <w:t xml:space="preserve">a </w:t>
      </w:r>
      <w:r w:rsidR="0081778E" w:rsidRPr="003A643A">
        <w:t xml:space="preserve">willingness to </w:t>
      </w:r>
      <w:r w:rsidR="001A6FFA">
        <w:t>critique even Jesus’s most acclaimed followers and to challenge</w:t>
      </w:r>
      <w:r w:rsidR="00805E45" w:rsidRPr="003A643A">
        <w:t xml:space="preserve"> </w:t>
      </w:r>
      <w:r w:rsidR="0081778E" w:rsidRPr="003A643A">
        <w:lastRenderedPageBreak/>
        <w:t>deeply entrenched gender expectations</w:t>
      </w:r>
      <w:r w:rsidR="00805E45" w:rsidRPr="003A643A">
        <w:t>. T</w:t>
      </w:r>
      <w:r w:rsidR="0081778E" w:rsidRPr="003A643A">
        <w:t xml:space="preserve">hat is, </w:t>
      </w:r>
      <w:r w:rsidR="001A6FFA">
        <w:t xml:space="preserve">even Jesus’s closest disciples are subject to harsh judgment. Further, </w:t>
      </w:r>
      <w:r w:rsidR="006D28C7" w:rsidRPr="003A643A">
        <w:t>peopl</w:t>
      </w:r>
      <w:r w:rsidR="006D28C7">
        <w:t>e who were</w:t>
      </w:r>
      <w:r w:rsidR="0081778E">
        <w:t xml:space="preserve"> powerful and more socially privileged </w:t>
      </w:r>
      <w:r w:rsidR="001A6FFA">
        <w:t>are commonly depicted as</w:t>
      </w:r>
      <w:r w:rsidR="0081778E">
        <w:t xml:space="preserve"> reject</w:t>
      </w:r>
      <w:r w:rsidR="001A6FFA">
        <w:t xml:space="preserve">ing </w:t>
      </w:r>
      <w:r w:rsidR="0081778E">
        <w:t>Jesus</w:t>
      </w:r>
      <w:r w:rsidR="006D28C7">
        <w:t>. In contrast,</w:t>
      </w:r>
      <w:r w:rsidR="0081778E">
        <w:t xml:space="preserve"> those more vulnerable, including women, stood out as those willing to have ears to hear </w:t>
      </w:r>
      <w:r w:rsidR="00805E45">
        <w:t xml:space="preserve">and receive </w:t>
      </w:r>
      <w:r w:rsidR="0081778E" w:rsidRPr="006D28C7">
        <w:t>Jesus</w:t>
      </w:r>
      <w:r w:rsidR="00805E45" w:rsidRPr="006D28C7">
        <w:t>’s</w:t>
      </w:r>
      <w:r w:rsidR="0081778E" w:rsidRPr="006D28C7">
        <w:t xml:space="preserve"> message.</w:t>
      </w:r>
      <w:r w:rsidR="006D28C7" w:rsidRPr="006D28C7">
        <w:t xml:space="preserve"> The author of the Long Ending carries forward this particularly </w:t>
      </w:r>
      <w:proofErr w:type="spellStart"/>
      <w:r w:rsidR="006D28C7" w:rsidRPr="006D28C7">
        <w:t>Markan</w:t>
      </w:r>
      <w:proofErr w:type="spellEnd"/>
      <w:r w:rsidR="006D28C7" w:rsidRPr="006D28C7">
        <w:t xml:space="preserve"> emphasis.</w:t>
      </w:r>
      <w:r w:rsidR="0081778E" w:rsidRPr="006D28C7">
        <w:t xml:space="preserve"> </w:t>
      </w:r>
    </w:p>
    <w:p w14:paraId="0D0FCB6D" w14:textId="77777777" w:rsidR="00FC31F6" w:rsidRDefault="006D28C7" w:rsidP="00DC2743">
      <w:pPr>
        <w:ind w:firstLine="720"/>
        <w:contextualSpacing/>
        <w:jc w:val="both"/>
      </w:pPr>
      <w:r w:rsidRPr="006D28C7">
        <w:t>At the same time, t</w:t>
      </w:r>
      <w:r w:rsidR="0081778E" w:rsidRPr="006D28C7">
        <w:t>he</w:t>
      </w:r>
      <w:r w:rsidR="0081778E">
        <w:t xml:space="preserve"> author of the </w:t>
      </w:r>
      <w:r w:rsidR="00805E45">
        <w:t>L</w:t>
      </w:r>
      <w:r w:rsidR="0081778E">
        <w:t xml:space="preserve">ong </w:t>
      </w:r>
      <w:r w:rsidR="00805E45">
        <w:t>E</w:t>
      </w:r>
      <w:r w:rsidR="0081778E">
        <w:t>nding supplement</w:t>
      </w:r>
      <w:r w:rsidR="00805E45">
        <w:t>ed</w:t>
      </w:r>
      <w:r w:rsidR="0081778E">
        <w:t xml:space="preserve"> the conclusion of Mark in a way that </w:t>
      </w:r>
      <w:r>
        <w:t>was</w:t>
      </w:r>
      <w:r w:rsidR="0081778E">
        <w:t xml:space="preserve"> </w:t>
      </w:r>
      <w:r w:rsidR="00912D44">
        <w:t>canonically</w:t>
      </w:r>
      <w:r w:rsidR="0081778E">
        <w:t xml:space="preserve"> referential</w:t>
      </w:r>
      <w:r>
        <w:t>—utilizing and simplifying episodes from Matthew, Luke, and John—</w:t>
      </w:r>
      <w:r w:rsidR="00805E45">
        <w:t xml:space="preserve">even </w:t>
      </w:r>
      <w:r w:rsidR="0081778E">
        <w:t xml:space="preserve">as the </w:t>
      </w:r>
      <w:r w:rsidR="00805E45">
        <w:t>G</w:t>
      </w:r>
      <w:r w:rsidR="0081778E">
        <w:t xml:space="preserve">ospel canon </w:t>
      </w:r>
      <w:r w:rsidR="00805E45">
        <w:t>was</w:t>
      </w:r>
      <w:r w:rsidR="0081778E">
        <w:t xml:space="preserve"> in its earliest stages of formation</w:t>
      </w:r>
      <w:r>
        <w:t xml:space="preserve">. The author of the appendix </w:t>
      </w:r>
      <w:r w:rsidR="00CF518D">
        <w:t>expanded Mark’s resurrection narratives by drawing selectively from other accounts</w:t>
      </w:r>
      <w:r w:rsidR="0081778E">
        <w:t xml:space="preserve"> in ways that extend </w:t>
      </w:r>
      <w:proofErr w:type="spellStart"/>
      <w:r w:rsidR="00FC31F6">
        <w:t>Markan</w:t>
      </w:r>
      <w:proofErr w:type="spellEnd"/>
      <w:r w:rsidR="00FC31F6">
        <w:t xml:space="preserve"> themes. These include </w:t>
      </w:r>
      <w:r w:rsidR="0081778E">
        <w:t>Mark</w:t>
      </w:r>
      <w:r w:rsidR="00805E45">
        <w:t>’</w:t>
      </w:r>
      <w:r w:rsidR="0081778E">
        <w:t>s willingness to call out unfaithfulness and</w:t>
      </w:r>
      <w:r w:rsidR="00FC31F6">
        <w:t xml:space="preserve"> to</w:t>
      </w:r>
      <w:r w:rsidR="0081778E">
        <w:t xml:space="preserve"> highlight faithfulness, no matter where </w:t>
      </w:r>
      <w:r w:rsidR="00805E45">
        <w:t>each</w:t>
      </w:r>
      <w:r w:rsidR="0081778E">
        <w:t xml:space="preserve"> is found. </w:t>
      </w:r>
    </w:p>
    <w:p w14:paraId="62D72C04" w14:textId="4FDC096D" w:rsidR="00E044F7" w:rsidRDefault="0081778E" w:rsidP="00DC2743">
      <w:pPr>
        <w:ind w:firstLine="720"/>
        <w:contextualSpacing/>
        <w:jc w:val="both"/>
      </w:pPr>
      <w:r>
        <w:t xml:space="preserve">As such, the </w:t>
      </w:r>
      <w:r w:rsidR="00805E45">
        <w:t>L</w:t>
      </w:r>
      <w:r>
        <w:t xml:space="preserve">ong </w:t>
      </w:r>
      <w:r w:rsidR="00805E45">
        <w:t>E</w:t>
      </w:r>
      <w:r>
        <w:t xml:space="preserve">nding </w:t>
      </w:r>
      <w:r w:rsidR="00805E45">
        <w:t>stands as</w:t>
      </w:r>
      <w:r>
        <w:t xml:space="preserve"> </w:t>
      </w:r>
      <w:r w:rsidR="00805E45">
        <w:t>a</w:t>
      </w:r>
      <w:r>
        <w:t xml:space="preserve">n early reception of </w:t>
      </w:r>
      <w:r w:rsidR="00805E45">
        <w:t>M</w:t>
      </w:r>
      <w:r>
        <w:t>ark</w:t>
      </w:r>
      <w:r w:rsidR="00805E45">
        <w:t>’</w:t>
      </w:r>
      <w:r>
        <w:t xml:space="preserve">s </w:t>
      </w:r>
      <w:r w:rsidR="00805E45">
        <w:t>G</w:t>
      </w:r>
      <w:r>
        <w:t xml:space="preserve">ospel, </w:t>
      </w:r>
      <w:r w:rsidR="00805E45">
        <w:t xml:space="preserve">enfolded into the process of the book’s developing place in the fourfold Gospel canon. </w:t>
      </w:r>
      <w:r w:rsidR="006D28C7">
        <w:t xml:space="preserve">In keeping with </w:t>
      </w:r>
      <w:r w:rsidR="00FC31F6">
        <w:t>this ancient author’s perception of the earliest Gospel</w:t>
      </w:r>
      <w:r w:rsidR="006D28C7">
        <w:t xml:space="preserve">, </w:t>
      </w:r>
      <w:r w:rsidR="00FC31F6">
        <w:t>the Long Ending takes pains to</w:t>
      </w:r>
      <w:r w:rsidR="006D28C7">
        <w:t xml:space="preserve"> preserve Mary Magdalene’s place as a trustworthy and faithful witness to Jesus’s resurrection—affording no such favors to the Eleven—and to reinforce her active proclamation as the pattern of discipleship by which future generations of believers should define themselves. </w:t>
      </w:r>
    </w:p>
    <w:sectPr w:rsidR="00E044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C5ED1" w14:textId="77777777" w:rsidR="00B20142" w:rsidRDefault="00B20142" w:rsidP="00F61EA2">
      <w:r>
        <w:separator/>
      </w:r>
    </w:p>
  </w:endnote>
  <w:endnote w:type="continuationSeparator" w:id="0">
    <w:p w14:paraId="78BB29C5" w14:textId="77777777" w:rsidR="00B20142" w:rsidRDefault="00B20142" w:rsidP="00F6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Arial"/>
    <w:panose1 w:val="020B0604020202020204"/>
    <w:charset w:val="B1"/>
    <w:family w:val="auto"/>
    <w:pitch w:val="variable"/>
    <w:sig w:usb0="8000086F" w:usb1="4000204A" w:usb2="00000000" w:usb3="00000000" w:csb0="00000021" w:csb1="00000000"/>
  </w:font>
  <w:font w:name="SBL Greek">
    <w:altName w:val="Calibri"/>
    <w:panose1 w:val="020B0604020202020204"/>
    <w:charset w:val="00"/>
    <w:family w:val="auto"/>
    <w:pitch w:val="variable"/>
    <w:sig w:usb0="C00000EF" w:usb1="0001A0CB"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C2D80" w14:textId="77777777" w:rsidR="00B20142" w:rsidRDefault="00B20142" w:rsidP="00F61EA2">
      <w:r>
        <w:separator/>
      </w:r>
    </w:p>
  </w:footnote>
  <w:footnote w:type="continuationSeparator" w:id="0">
    <w:p w14:paraId="7292A98B" w14:textId="77777777" w:rsidR="00B20142" w:rsidRDefault="00B20142" w:rsidP="00F61EA2">
      <w:r>
        <w:continuationSeparator/>
      </w:r>
    </w:p>
  </w:footnote>
  <w:footnote w:id="1">
    <w:p w14:paraId="0DFC0994" w14:textId="559BAF59" w:rsidR="005426A3" w:rsidRPr="005426A3" w:rsidRDefault="005426A3" w:rsidP="005426A3">
      <w:pPr>
        <w:pStyle w:val="Notedebasdepage"/>
        <w:ind w:firstLine="720"/>
      </w:pPr>
      <w:r>
        <w:rPr>
          <w:rStyle w:val="Appelnotedebasdep"/>
        </w:rPr>
        <w:footnoteRef/>
      </w:r>
      <w:r>
        <w:t xml:space="preserve"> </w:t>
      </w:r>
      <w:r w:rsidRPr="005426A3">
        <w:rPr>
          <w:rFonts w:cstheme="minorHAnsi"/>
          <w:i/>
          <w:iCs/>
        </w:rPr>
        <w:t xml:space="preserve">Gospel Women and the </w:t>
      </w:r>
      <w:r>
        <w:rPr>
          <w:rFonts w:cstheme="minorHAnsi"/>
          <w:i/>
          <w:iCs/>
        </w:rPr>
        <w:t xml:space="preserve">Long </w:t>
      </w:r>
      <w:r w:rsidRPr="005426A3">
        <w:rPr>
          <w:rFonts w:cstheme="minorHAnsi"/>
          <w:i/>
          <w:iCs/>
        </w:rPr>
        <w:t>E</w:t>
      </w:r>
      <w:r>
        <w:rPr>
          <w:rFonts w:cstheme="minorHAnsi"/>
          <w:i/>
          <w:iCs/>
        </w:rPr>
        <w:t>nding</w:t>
      </w:r>
      <w:r w:rsidRPr="005426A3">
        <w:rPr>
          <w:rFonts w:cstheme="minorHAnsi"/>
        </w:rPr>
        <w:t>,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01206"/>
    <w:multiLevelType w:val="hybridMultilevel"/>
    <w:tmpl w:val="AC26DBC6"/>
    <w:lvl w:ilvl="0" w:tplc="67BAC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0F"/>
    <w:rsid w:val="000303EF"/>
    <w:rsid w:val="0004632F"/>
    <w:rsid w:val="00046CCD"/>
    <w:rsid w:val="00053A77"/>
    <w:rsid w:val="0006641C"/>
    <w:rsid w:val="00106986"/>
    <w:rsid w:val="0013449A"/>
    <w:rsid w:val="00172B93"/>
    <w:rsid w:val="001A6FFA"/>
    <w:rsid w:val="0023332C"/>
    <w:rsid w:val="0027456F"/>
    <w:rsid w:val="00281D2B"/>
    <w:rsid w:val="002B11F8"/>
    <w:rsid w:val="002C12FC"/>
    <w:rsid w:val="0031207E"/>
    <w:rsid w:val="00335F99"/>
    <w:rsid w:val="00336A4D"/>
    <w:rsid w:val="00340E34"/>
    <w:rsid w:val="003566A1"/>
    <w:rsid w:val="00366702"/>
    <w:rsid w:val="003713A9"/>
    <w:rsid w:val="003817FC"/>
    <w:rsid w:val="003A643A"/>
    <w:rsid w:val="003D7316"/>
    <w:rsid w:val="0041131B"/>
    <w:rsid w:val="00412D4B"/>
    <w:rsid w:val="004232D8"/>
    <w:rsid w:val="00425AA3"/>
    <w:rsid w:val="00465414"/>
    <w:rsid w:val="004C59BD"/>
    <w:rsid w:val="004C6B18"/>
    <w:rsid w:val="004F2385"/>
    <w:rsid w:val="00506CF1"/>
    <w:rsid w:val="00534B07"/>
    <w:rsid w:val="005426A3"/>
    <w:rsid w:val="005629B8"/>
    <w:rsid w:val="0057187C"/>
    <w:rsid w:val="005A116C"/>
    <w:rsid w:val="005A258C"/>
    <w:rsid w:val="00654D56"/>
    <w:rsid w:val="00687F68"/>
    <w:rsid w:val="00692BE8"/>
    <w:rsid w:val="006A32EB"/>
    <w:rsid w:val="006A3958"/>
    <w:rsid w:val="006C2883"/>
    <w:rsid w:val="006D28C7"/>
    <w:rsid w:val="007062DA"/>
    <w:rsid w:val="00706430"/>
    <w:rsid w:val="0072720D"/>
    <w:rsid w:val="00737536"/>
    <w:rsid w:val="00753DCF"/>
    <w:rsid w:val="00767D4A"/>
    <w:rsid w:val="007C6592"/>
    <w:rsid w:val="00805E45"/>
    <w:rsid w:val="0081342B"/>
    <w:rsid w:val="00813E62"/>
    <w:rsid w:val="0081778E"/>
    <w:rsid w:val="00821167"/>
    <w:rsid w:val="0083164D"/>
    <w:rsid w:val="00844DA6"/>
    <w:rsid w:val="00846F82"/>
    <w:rsid w:val="00852129"/>
    <w:rsid w:val="00852CE6"/>
    <w:rsid w:val="00855D4F"/>
    <w:rsid w:val="008800CC"/>
    <w:rsid w:val="00884C0F"/>
    <w:rsid w:val="0088747B"/>
    <w:rsid w:val="008E4288"/>
    <w:rsid w:val="008F300F"/>
    <w:rsid w:val="00906E76"/>
    <w:rsid w:val="00912D44"/>
    <w:rsid w:val="00921246"/>
    <w:rsid w:val="00925B07"/>
    <w:rsid w:val="009352C5"/>
    <w:rsid w:val="009614E4"/>
    <w:rsid w:val="00967538"/>
    <w:rsid w:val="009A629B"/>
    <w:rsid w:val="009C4C0B"/>
    <w:rsid w:val="009E1D0C"/>
    <w:rsid w:val="009F1121"/>
    <w:rsid w:val="00A064A3"/>
    <w:rsid w:val="00A361D9"/>
    <w:rsid w:val="00A36D14"/>
    <w:rsid w:val="00A41F25"/>
    <w:rsid w:val="00A72DF6"/>
    <w:rsid w:val="00AE3F88"/>
    <w:rsid w:val="00AF02B0"/>
    <w:rsid w:val="00AF2ABE"/>
    <w:rsid w:val="00AF4EA8"/>
    <w:rsid w:val="00B065BA"/>
    <w:rsid w:val="00B10CFB"/>
    <w:rsid w:val="00B20142"/>
    <w:rsid w:val="00B70330"/>
    <w:rsid w:val="00BB7EB1"/>
    <w:rsid w:val="00BC404E"/>
    <w:rsid w:val="00BE27C0"/>
    <w:rsid w:val="00C31150"/>
    <w:rsid w:val="00C3748F"/>
    <w:rsid w:val="00C70EEE"/>
    <w:rsid w:val="00C72A40"/>
    <w:rsid w:val="00C8188E"/>
    <w:rsid w:val="00CB1FDC"/>
    <w:rsid w:val="00CB68D8"/>
    <w:rsid w:val="00CD2CF0"/>
    <w:rsid w:val="00CF518D"/>
    <w:rsid w:val="00D10310"/>
    <w:rsid w:val="00DA117E"/>
    <w:rsid w:val="00DA3B9F"/>
    <w:rsid w:val="00DC2743"/>
    <w:rsid w:val="00DD34AF"/>
    <w:rsid w:val="00DE0D28"/>
    <w:rsid w:val="00E044F7"/>
    <w:rsid w:val="00E069C2"/>
    <w:rsid w:val="00E123E8"/>
    <w:rsid w:val="00E174FE"/>
    <w:rsid w:val="00E255AA"/>
    <w:rsid w:val="00E4421E"/>
    <w:rsid w:val="00E460DF"/>
    <w:rsid w:val="00E47F3E"/>
    <w:rsid w:val="00E7425C"/>
    <w:rsid w:val="00E91F16"/>
    <w:rsid w:val="00E96E27"/>
    <w:rsid w:val="00EB196D"/>
    <w:rsid w:val="00EC044F"/>
    <w:rsid w:val="00F126DA"/>
    <w:rsid w:val="00F45C56"/>
    <w:rsid w:val="00F61EA2"/>
    <w:rsid w:val="00F75A66"/>
    <w:rsid w:val="00F76284"/>
    <w:rsid w:val="00F81964"/>
    <w:rsid w:val="00FA2D8D"/>
    <w:rsid w:val="00FB0E8C"/>
    <w:rsid w:val="00FC31F6"/>
    <w:rsid w:val="00FD2A56"/>
    <w:rsid w:val="00FF04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83A801E"/>
  <w15:chartTrackingRefBased/>
  <w15:docId w15:val="{3A54941B-F277-B348-840D-06D76086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2DF6"/>
    <w:pPr>
      <w:ind w:left="720"/>
      <w:contextualSpacing/>
    </w:pPr>
  </w:style>
  <w:style w:type="paragraph" w:styleId="Textedebulles">
    <w:name w:val="Balloon Text"/>
    <w:basedOn w:val="Normal"/>
    <w:link w:val="TextedebullesCar"/>
    <w:uiPriority w:val="99"/>
    <w:semiHidden/>
    <w:unhideWhenUsed/>
    <w:rsid w:val="006A395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A3958"/>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F61EA2"/>
    <w:rPr>
      <w:sz w:val="20"/>
      <w:szCs w:val="20"/>
    </w:rPr>
  </w:style>
  <w:style w:type="character" w:customStyle="1" w:styleId="NotedebasdepageCar">
    <w:name w:val="Note de bas de page Car"/>
    <w:basedOn w:val="Policepardfaut"/>
    <w:link w:val="Notedebasdepage"/>
    <w:uiPriority w:val="99"/>
    <w:semiHidden/>
    <w:rsid w:val="00F61EA2"/>
    <w:rPr>
      <w:sz w:val="20"/>
      <w:szCs w:val="20"/>
    </w:rPr>
  </w:style>
  <w:style w:type="character" w:styleId="Appelnotedebasdep">
    <w:name w:val="footnote reference"/>
    <w:basedOn w:val="Policepardfaut"/>
    <w:uiPriority w:val="99"/>
    <w:semiHidden/>
    <w:unhideWhenUsed/>
    <w:rsid w:val="00F61E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303534">
      <w:bodyDiv w:val="1"/>
      <w:marLeft w:val="0"/>
      <w:marRight w:val="0"/>
      <w:marTop w:val="0"/>
      <w:marBottom w:val="0"/>
      <w:divBdr>
        <w:top w:val="none" w:sz="0" w:space="0" w:color="auto"/>
        <w:left w:val="none" w:sz="0" w:space="0" w:color="auto"/>
        <w:bottom w:val="none" w:sz="0" w:space="0" w:color="auto"/>
        <w:right w:val="none" w:sz="0" w:space="0" w:color="auto"/>
      </w:divBdr>
      <w:divsChild>
        <w:div w:id="1264218768">
          <w:marLeft w:val="360"/>
          <w:marRight w:val="0"/>
          <w:marTop w:val="200"/>
          <w:marBottom w:val="0"/>
          <w:divBdr>
            <w:top w:val="none" w:sz="0" w:space="0" w:color="auto"/>
            <w:left w:val="none" w:sz="0" w:space="0" w:color="auto"/>
            <w:bottom w:val="none" w:sz="0" w:space="0" w:color="auto"/>
            <w:right w:val="none" w:sz="0" w:space="0" w:color="auto"/>
          </w:divBdr>
        </w:div>
        <w:div w:id="1640497562">
          <w:marLeft w:val="1080"/>
          <w:marRight w:val="0"/>
          <w:marTop w:val="100"/>
          <w:marBottom w:val="0"/>
          <w:divBdr>
            <w:top w:val="none" w:sz="0" w:space="0" w:color="auto"/>
            <w:left w:val="none" w:sz="0" w:space="0" w:color="auto"/>
            <w:bottom w:val="none" w:sz="0" w:space="0" w:color="auto"/>
            <w:right w:val="none" w:sz="0" w:space="0" w:color="auto"/>
          </w:divBdr>
        </w:div>
        <w:div w:id="1863203335">
          <w:marLeft w:val="1080"/>
          <w:marRight w:val="0"/>
          <w:marTop w:val="100"/>
          <w:marBottom w:val="0"/>
          <w:divBdr>
            <w:top w:val="none" w:sz="0" w:space="0" w:color="auto"/>
            <w:left w:val="none" w:sz="0" w:space="0" w:color="auto"/>
            <w:bottom w:val="none" w:sz="0" w:space="0" w:color="auto"/>
            <w:right w:val="none" w:sz="0" w:space="0" w:color="auto"/>
          </w:divBdr>
        </w:div>
      </w:divsChild>
    </w:div>
    <w:div w:id="1128354270">
      <w:bodyDiv w:val="1"/>
      <w:marLeft w:val="0"/>
      <w:marRight w:val="0"/>
      <w:marTop w:val="0"/>
      <w:marBottom w:val="0"/>
      <w:divBdr>
        <w:top w:val="none" w:sz="0" w:space="0" w:color="auto"/>
        <w:left w:val="none" w:sz="0" w:space="0" w:color="auto"/>
        <w:bottom w:val="none" w:sz="0" w:space="0" w:color="auto"/>
        <w:right w:val="none" w:sz="0" w:space="0" w:color="auto"/>
      </w:divBdr>
    </w:div>
    <w:div w:id="18768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oomsbury.com/uk/gospel-women-and-the-long-ending-of-mark-97805676924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2134</Words>
  <Characters>11741</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Clivaz</cp:lastModifiedBy>
  <cp:revision>10</cp:revision>
  <cp:lastPrinted>2020-08-30T04:43:00Z</cp:lastPrinted>
  <dcterms:created xsi:type="dcterms:W3CDTF">2020-08-30T19:54:00Z</dcterms:created>
  <dcterms:modified xsi:type="dcterms:W3CDTF">2020-09-06T20:22:00Z</dcterms:modified>
</cp:coreProperties>
</file>